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eastAsia="黑体"/>
          <w:color w:val="auto"/>
          <w:kern w:val="0"/>
          <w:sz w:val="32"/>
          <w:szCs w:val="32"/>
          <w:highlight w:val="none"/>
          <w:lang w:val="en-US" w:eastAsia="zh-CN"/>
        </w:rPr>
      </w:pPr>
      <w:r>
        <w:rPr>
          <w:rFonts w:eastAsia="黑体"/>
          <w:color w:val="auto"/>
          <w:kern w:val="0"/>
          <w:sz w:val="32"/>
          <w:szCs w:val="32"/>
          <w:highlight w:val="none"/>
        </w:rPr>
        <w:t>附件</w:t>
      </w:r>
      <w:r>
        <w:rPr>
          <w:rFonts w:hint="eastAsia" w:eastAsia="黑体"/>
          <w:color w:val="auto"/>
          <w:kern w:val="0"/>
          <w:sz w:val="32"/>
          <w:szCs w:val="32"/>
          <w:highlight w:val="none"/>
          <w:lang w:val="en-US" w:eastAsia="zh-CN"/>
        </w:rPr>
        <w:t>1</w:t>
      </w:r>
    </w:p>
    <w:tbl>
      <w:tblPr>
        <w:tblStyle w:val="3"/>
        <w:tblW w:w="0" w:type="auto"/>
        <w:jc w:val="center"/>
        <w:tblLayout w:type="fixed"/>
        <w:tblCellMar>
          <w:top w:w="0" w:type="dxa"/>
          <w:left w:w="108" w:type="dxa"/>
          <w:bottom w:w="0" w:type="dxa"/>
          <w:right w:w="108" w:type="dxa"/>
        </w:tblCellMar>
      </w:tblPr>
      <w:tblGrid>
        <w:gridCol w:w="1351"/>
        <w:gridCol w:w="952"/>
        <w:gridCol w:w="2610"/>
        <w:gridCol w:w="1800"/>
        <w:gridCol w:w="1590"/>
        <w:gridCol w:w="2325"/>
        <w:gridCol w:w="2300"/>
      </w:tblGrid>
      <w:tr>
        <w:tblPrEx>
          <w:tblCellMar>
            <w:top w:w="0" w:type="dxa"/>
            <w:left w:w="108" w:type="dxa"/>
            <w:bottom w:w="0" w:type="dxa"/>
            <w:right w:w="108" w:type="dxa"/>
          </w:tblCellMar>
        </w:tblPrEx>
        <w:trPr>
          <w:trHeight w:val="860" w:hRule="atLeast"/>
          <w:jc w:val="center"/>
        </w:trPr>
        <w:tc>
          <w:tcPr>
            <w:tcW w:w="12928" w:type="dxa"/>
            <w:gridSpan w:val="7"/>
            <w:noWrap w:val="0"/>
            <w:vAlign w:val="center"/>
          </w:tcPr>
          <w:p>
            <w:pPr>
              <w:keepNext w:val="0"/>
              <w:keepLines w:val="0"/>
              <w:pageBreakBefore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left"/>
              <w:textAlignment w:val="auto"/>
              <w:outlineLvl w:val="9"/>
              <w:rPr>
                <w:rFonts w:hint="eastAsia" w:ascii="方正小标宋简体" w:hAnsi="方正小标宋简体" w:eastAsia="方正小标宋简体" w:cs="方正小标宋简体"/>
                <w:bCs/>
                <w:snapToGrid w:val="0"/>
                <w:kern w:val="0"/>
                <w:sz w:val="32"/>
                <w:szCs w:val="32"/>
                <w:highlight w:val="none"/>
                <w:lang w:val="en-US" w:eastAsia="zh-CN"/>
              </w:rPr>
            </w:pPr>
            <w:r>
              <w:rPr>
                <w:rFonts w:hint="eastAsia" w:ascii="方正小标宋简体" w:hAnsi="方正小标宋简体" w:eastAsia="方正小标宋简体" w:cs="方正小标宋简体"/>
                <w:bCs/>
                <w:snapToGrid w:val="0"/>
                <w:kern w:val="0"/>
                <w:sz w:val="32"/>
                <w:szCs w:val="32"/>
                <w:highlight w:val="none"/>
                <w:lang w:val="en-US" w:eastAsia="zh-CN"/>
              </w:rPr>
              <w:t>广东省审计厅2023年面向全国公开招聘派驻省管企业审计专员办事处审计员职位表</w:t>
            </w:r>
          </w:p>
          <w:p>
            <w:pPr>
              <w:widowControl/>
              <w:snapToGrid w:val="0"/>
              <w:spacing w:line="560" w:lineRule="exact"/>
              <w:jc w:val="center"/>
              <w:rPr>
                <w:rFonts w:hint="default" w:ascii="Times New Roman" w:hAnsi="Times New Roman" w:eastAsia="方正小标宋简体" w:cs="Times New Roman"/>
                <w:b/>
                <w:color w:val="auto"/>
                <w:kern w:val="0"/>
                <w:sz w:val="44"/>
                <w:szCs w:val="44"/>
                <w:highlight w:val="none"/>
              </w:rPr>
            </w:pPr>
          </w:p>
        </w:tc>
      </w:tr>
      <w:tr>
        <w:tblPrEx>
          <w:tblCellMar>
            <w:top w:w="0" w:type="dxa"/>
            <w:left w:w="108" w:type="dxa"/>
            <w:bottom w:w="0" w:type="dxa"/>
            <w:right w:w="108" w:type="dxa"/>
          </w:tblCellMar>
        </w:tblPrEx>
        <w:trPr>
          <w:trHeight w:val="679"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招聘</w:t>
            </w:r>
          </w:p>
          <w:p>
            <w:pPr>
              <w:widowControl/>
              <w:snapToGrid w:val="0"/>
              <w:jc w:val="center"/>
              <w:rPr>
                <w:rFonts w:eastAsia="仿宋_GB2312"/>
                <w:color w:val="auto"/>
                <w:kern w:val="0"/>
                <w:sz w:val="24"/>
                <w:highlight w:val="none"/>
              </w:rPr>
            </w:pPr>
            <w:r>
              <w:rPr>
                <w:rFonts w:hint="eastAsia" w:eastAsia="仿宋_GB2312"/>
                <w:color w:val="auto"/>
                <w:kern w:val="0"/>
                <w:sz w:val="24"/>
                <w:highlight w:val="none"/>
              </w:rPr>
              <w:t>岗位</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招聘</w:t>
            </w:r>
          </w:p>
          <w:p>
            <w:pPr>
              <w:widowControl/>
              <w:snapToGrid w:val="0"/>
              <w:jc w:val="center"/>
              <w:rPr>
                <w:rFonts w:eastAsia="仿宋_GB2312"/>
                <w:color w:val="auto"/>
                <w:kern w:val="0"/>
                <w:sz w:val="24"/>
                <w:highlight w:val="none"/>
              </w:rPr>
            </w:pPr>
            <w:r>
              <w:rPr>
                <w:rFonts w:eastAsia="仿宋_GB2312"/>
                <w:color w:val="auto"/>
                <w:kern w:val="0"/>
                <w:sz w:val="24"/>
                <w:highlight w:val="none"/>
              </w:rPr>
              <w:t>人数</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招聘专业</w:t>
            </w:r>
            <w:r>
              <w:rPr>
                <w:rFonts w:hint="eastAsia" w:eastAsia="仿宋_GB2312"/>
                <w:color w:val="auto"/>
                <w:kern w:val="0"/>
                <w:sz w:val="24"/>
                <w:highlight w:val="none"/>
                <w:lang w:eastAsia="zh-CN"/>
              </w:rPr>
              <w:t>大类及代码</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学历学位</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职称</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其他条件</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备注</w:t>
            </w:r>
          </w:p>
        </w:tc>
      </w:tr>
      <w:tr>
        <w:tblPrEx>
          <w:tblCellMar>
            <w:top w:w="0" w:type="dxa"/>
            <w:left w:w="108" w:type="dxa"/>
            <w:bottom w:w="0" w:type="dxa"/>
            <w:right w:w="108" w:type="dxa"/>
          </w:tblCellMar>
        </w:tblPrEx>
        <w:trPr>
          <w:trHeight w:val="183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职位一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4</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eastAsia="仿宋_GB2312"/>
                <w:color w:val="auto"/>
                <w:kern w:val="0"/>
                <w:sz w:val="24"/>
                <w:highlight w:val="none"/>
              </w:rPr>
              <w:t>经济</w:t>
            </w:r>
            <w:r>
              <w:rPr>
                <w:rFonts w:hint="eastAsia" w:eastAsia="仿宋_GB2312"/>
                <w:color w:val="auto"/>
                <w:kern w:val="0"/>
                <w:sz w:val="24"/>
                <w:highlight w:val="none"/>
                <w:lang w:eastAsia="zh-CN"/>
              </w:rPr>
              <w:t>金融类（</w:t>
            </w:r>
            <w:r>
              <w:rPr>
                <w:rFonts w:hint="eastAsia" w:eastAsia="仿宋_GB2312"/>
                <w:color w:val="auto"/>
                <w:kern w:val="0"/>
                <w:sz w:val="24"/>
                <w:highlight w:val="none"/>
                <w:lang w:val="en-US" w:eastAsia="zh-CN"/>
              </w:rPr>
              <w:t>03）</w:t>
            </w:r>
            <w:r>
              <w:rPr>
                <w:rFonts w:eastAsia="仿宋_GB2312"/>
                <w:color w:val="auto"/>
                <w:kern w:val="0"/>
                <w:sz w:val="24"/>
                <w:highlight w:val="none"/>
              </w:rPr>
              <w:t xml:space="preserve">                           </w:t>
            </w:r>
            <w:r>
              <w:rPr>
                <w:rFonts w:hint="eastAsia" w:eastAsia="仿宋_GB2312"/>
                <w:color w:val="auto"/>
                <w:kern w:val="0"/>
                <w:sz w:val="24"/>
                <w:highlight w:val="none"/>
                <w:lang w:eastAsia="zh-CN"/>
              </w:rPr>
              <w:t>现代</w:t>
            </w:r>
            <w:r>
              <w:rPr>
                <w:rFonts w:eastAsia="仿宋_GB2312"/>
                <w:color w:val="auto"/>
                <w:kern w:val="0"/>
                <w:sz w:val="24"/>
                <w:highlight w:val="none"/>
              </w:rPr>
              <w:t>管理</w:t>
            </w:r>
            <w:r>
              <w:rPr>
                <w:rFonts w:hint="eastAsia" w:eastAsia="仿宋_GB2312"/>
                <w:color w:val="auto"/>
                <w:kern w:val="0"/>
                <w:sz w:val="24"/>
                <w:highlight w:val="none"/>
                <w:lang w:eastAsia="zh-CN"/>
              </w:rPr>
              <w:t>类</w:t>
            </w:r>
            <w:r>
              <w:rPr>
                <w:rFonts w:eastAsia="仿宋_GB2312"/>
                <w:color w:val="auto"/>
                <w:kern w:val="0"/>
                <w:sz w:val="24"/>
                <w:highlight w:val="none"/>
              </w:rPr>
              <w:t>（</w:t>
            </w:r>
            <w:r>
              <w:rPr>
                <w:rFonts w:hint="eastAsia" w:eastAsia="仿宋_GB2312"/>
                <w:color w:val="auto"/>
                <w:kern w:val="0"/>
                <w:sz w:val="24"/>
                <w:highlight w:val="none"/>
                <w:lang w:val="en-US" w:eastAsia="zh-CN"/>
              </w:rPr>
              <w:t>04</w:t>
            </w:r>
            <w:r>
              <w:rPr>
                <w:rFonts w:eastAsia="仿宋_GB2312"/>
                <w:color w:val="auto"/>
                <w:kern w:val="0"/>
                <w:sz w:val="24"/>
                <w:highlight w:val="none"/>
              </w:rPr>
              <w:t>）</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rPr>
            </w:pPr>
            <w:r>
              <w:rPr>
                <w:rFonts w:hint="eastAsia" w:eastAsia="仿宋_GB2312"/>
                <w:color w:val="auto"/>
                <w:kern w:val="0"/>
                <w:sz w:val="24"/>
                <w:highlight w:val="none"/>
                <w:lang w:eastAsia="zh-CN"/>
              </w:rPr>
              <w:t>全日制</w:t>
            </w:r>
            <w:r>
              <w:rPr>
                <w:rFonts w:eastAsia="仿宋_GB2312"/>
                <w:color w:val="auto"/>
                <w:kern w:val="0"/>
                <w:sz w:val="24"/>
                <w:highlight w:val="none"/>
              </w:rPr>
              <w:t>大学本科</w:t>
            </w:r>
            <w:r>
              <w:rPr>
                <w:rFonts w:hint="eastAsia" w:eastAsia="仿宋_GB2312"/>
                <w:color w:val="auto"/>
                <w:kern w:val="0"/>
                <w:sz w:val="24"/>
                <w:highlight w:val="none"/>
              </w:rPr>
              <w:t>以上</w:t>
            </w:r>
          </w:p>
          <w:p>
            <w:pPr>
              <w:widowControl/>
              <w:snapToGrid w:val="0"/>
              <w:jc w:val="center"/>
              <w:rPr>
                <w:rFonts w:eastAsia="仿宋_GB2312"/>
                <w:color w:val="auto"/>
                <w:kern w:val="0"/>
                <w:sz w:val="24"/>
                <w:highlight w:val="none"/>
              </w:rPr>
            </w:pPr>
            <w:r>
              <w:rPr>
                <w:rFonts w:eastAsia="仿宋_GB2312"/>
                <w:color w:val="auto"/>
                <w:kern w:val="0"/>
                <w:sz w:val="24"/>
                <w:highlight w:val="none"/>
              </w:rPr>
              <w:t>学士以上</w:t>
            </w:r>
          </w:p>
        </w:tc>
        <w:tc>
          <w:tcPr>
            <w:tcW w:w="1590"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eastAsia="仿宋_GB2312"/>
                <w:color w:val="auto"/>
                <w:kern w:val="0"/>
                <w:sz w:val="24"/>
                <w:highlight w:val="none"/>
              </w:rPr>
            </w:pPr>
            <w:r>
              <w:rPr>
                <w:rFonts w:hint="eastAsia" w:eastAsia="仿宋_GB2312"/>
                <w:color w:val="auto"/>
                <w:kern w:val="0"/>
                <w:sz w:val="24"/>
                <w:highlight w:val="none"/>
              </w:rPr>
              <w:t>中级以上</w:t>
            </w:r>
            <w:r>
              <w:rPr>
                <w:rFonts w:hint="eastAsia" w:eastAsia="仿宋_GB2312"/>
                <w:color w:val="auto"/>
                <w:kern w:val="0"/>
                <w:sz w:val="24"/>
                <w:highlight w:val="none"/>
                <w:lang w:eastAsia="zh-CN"/>
              </w:rPr>
              <w:t>相关</w:t>
            </w:r>
            <w:r>
              <w:rPr>
                <w:rFonts w:hint="eastAsia" w:eastAsia="仿宋_GB2312"/>
                <w:color w:val="auto"/>
                <w:kern w:val="0"/>
                <w:sz w:val="24"/>
                <w:highlight w:val="none"/>
              </w:rPr>
              <w:t>专业技术职称</w:t>
            </w:r>
          </w:p>
        </w:tc>
        <w:tc>
          <w:tcPr>
            <w:tcW w:w="232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eastAsia="仿宋_GB2312"/>
                <w:color w:val="auto"/>
                <w:kern w:val="0"/>
                <w:sz w:val="21"/>
                <w:szCs w:val="16"/>
                <w:highlight w:val="none"/>
              </w:rPr>
            </w:pPr>
            <w:r>
              <w:rPr>
                <w:rFonts w:hint="eastAsia" w:eastAsia="仿宋_GB2312"/>
                <w:color w:val="auto"/>
                <w:kern w:val="0"/>
                <w:sz w:val="21"/>
                <w:szCs w:val="16"/>
                <w:highlight w:val="none"/>
                <w:lang w:val="en-US" w:eastAsia="zh-CN"/>
              </w:rPr>
              <w:t>1</w:t>
            </w:r>
            <w:r>
              <w:rPr>
                <w:rFonts w:hint="eastAsia" w:eastAsia="仿宋_GB2312"/>
                <w:color w:val="auto"/>
                <w:kern w:val="0"/>
                <w:sz w:val="21"/>
                <w:szCs w:val="16"/>
                <w:highlight w:val="none"/>
              </w:rPr>
              <w:t>．年龄在35周岁以下；</w:t>
            </w:r>
          </w:p>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eastAsia="仿宋_GB2312"/>
                <w:color w:val="auto"/>
                <w:kern w:val="0"/>
                <w:sz w:val="21"/>
                <w:szCs w:val="16"/>
                <w:highlight w:val="none"/>
              </w:rPr>
            </w:pPr>
            <w:r>
              <w:rPr>
                <w:rFonts w:hint="eastAsia" w:eastAsia="仿宋_GB2312"/>
                <w:color w:val="auto"/>
                <w:kern w:val="0"/>
                <w:sz w:val="21"/>
                <w:szCs w:val="16"/>
                <w:highlight w:val="none"/>
              </w:rPr>
              <w:t>2．具有5年以上审计、财务、会计、金融、法律、工程、计算机、企业管理、经济管理等相关工作经验</w:t>
            </w:r>
            <w:r>
              <w:rPr>
                <w:rFonts w:hint="eastAsia" w:eastAsia="仿宋_GB2312"/>
                <w:color w:val="auto"/>
                <w:kern w:val="0"/>
                <w:sz w:val="21"/>
                <w:szCs w:val="16"/>
                <w:highlight w:val="none"/>
                <w:lang w:eastAsia="zh-CN"/>
              </w:rPr>
              <w:t>。</w:t>
            </w:r>
          </w:p>
        </w:tc>
        <w:tc>
          <w:tcPr>
            <w:tcW w:w="23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eastAsia="仿宋_GB2312"/>
                <w:color w:val="auto"/>
                <w:kern w:val="0"/>
                <w:sz w:val="21"/>
                <w:szCs w:val="16"/>
                <w:highlight w:val="none"/>
              </w:rPr>
            </w:pPr>
            <w:r>
              <w:rPr>
                <w:rFonts w:hint="eastAsia" w:ascii="Times New Roman" w:hAnsi="Times New Roman" w:eastAsia="仿宋_GB2312" w:cs="Times New Roman"/>
                <w:color w:val="auto"/>
                <w:kern w:val="0"/>
                <w:sz w:val="21"/>
                <w:szCs w:val="16"/>
                <w:highlight w:val="none"/>
                <w:lang w:val="en-US" w:eastAsia="zh-CN"/>
              </w:rPr>
              <w:t>符合以下条件之一的，同等条件下优先考虑：</w:t>
            </w:r>
            <w:r>
              <w:rPr>
                <w:rFonts w:hint="eastAsia" w:eastAsia="仿宋_GB2312" w:cs="Times New Roman"/>
                <w:color w:val="auto"/>
                <w:kern w:val="0"/>
                <w:sz w:val="21"/>
                <w:szCs w:val="16"/>
                <w:highlight w:val="none"/>
                <w:lang w:val="en-US" w:eastAsia="zh-CN"/>
              </w:rPr>
              <w:t>1</w:t>
            </w:r>
            <w:r>
              <w:rPr>
                <w:rFonts w:hint="default" w:eastAsia="仿宋_GB2312" w:cs="Times New Roman"/>
                <w:color w:val="auto"/>
                <w:kern w:val="0"/>
                <w:sz w:val="21"/>
                <w:szCs w:val="16"/>
                <w:highlight w:val="none"/>
                <w:lang w:val="en-US" w:eastAsia="zh-CN"/>
              </w:rPr>
              <w:t>.</w:t>
            </w:r>
            <w:r>
              <w:rPr>
                <w:rFonts w:hint="eastAsia" w:ascii="Times New Roman" w:hAnsi="Times New Roman" w:eastAsia="仿宋_GB2312" w:cs="Times New Roman"/>
                <w:color w:val="auto"/>
                <w:kern w:val="0"/>
                <w:sz w:val="21"/>
                <w:szCs w:val="16"/>
                <w:highlight w:val="none"/>
                <w:lang w:val="en-US" w:eastAsia="zh-CN"/>
              </w:rPr>
              <w:t>政治面貌为中共党员的；</w:t>
            </w:r>
            <w:r>
              <w:rPr>
                <w:rFonts w:hint="eastAsia" w:eastAsia="仿宋_GB2312" w:cs="Times New Roman"/>
                <w:color w:val="auto"/>
                <w:kern w:val="0"/>
                <w:sz w:val="21"/>
                <w:szCs w:val="16"/>
                <w:highlight w:val="none"/>
                <w:lang w:val="en-US" w:eastAsia="zh-CN"/>
              </w:rPr>
              <w:t>2</w:t>
            </w:r>
            <w:r>
              <w:rPr>
                <w:rFonts w:hint="default" w:eastAsia="仿宋_GB2312" w:cs="Times New Roman"/>
                <w:color w:val="auto"/>
                <w:kern w:val="0"/>
                <w:sz w:val="21"/>
                <w:szCs w:val="16"/>
                <w:highlight w:val="none"/>
                <w:lang w:val="en-US" w:eastAsia="zh-CN"/>
              </w:rPr>
              <w:t>.</w:t>
            </w:r>
            <w:bookmarkStart w:id="0" w:name="_GoBack"/>
            <w:bookmarkEnd w:id="0"/>
            <w:r>
              <w:rPr>
                <w:rFonts w:hint="eastAsia" w:ascii="Times New Roman" w:hAnsi="Times New Roman" w:eastAsia="仿宋_GB2312" w:cs="Times New Roman"/>
                <w:color w:val="auto"/>
                <w:kern w:val="0"/>
                <w:sz w:val="21"/>
                <w:szCs w:val="16"/>
                <w:highlight w:val="none"/>
                <w:lang w:val="en-US" w:eastAsia="zh-CN"/>
              </w:rPr>
              <w:t>在国有大中型企业担任管理人员，或在经济管理类党政机关担任四级主任科员及以上职级人员</w:t>
            </w:r>
            <w:r>
              <w:rPr>
                <w:rFonts w:hint="default" w:eastAsia="仿宋_GB2312" w:cs="Times New Roman"/>
                <w:color w:val="auto"/>
                <w:kern w:val="0"/>
                <w:sz w:val="21"/>
                <w:szCs w:val="16"/>
                <w:highlight w:val="none"/>
                <w:lang w:val="en-US" w:eastAsia="zh-CN"/>
              </w:rPr>
              <w:t>,</w:t>
            </w:r>
            <w:r>
              <w:rPr>
                <w:rFonts w:hint="eastAsia" w:ascii="Times New Roman" w:hAnsi="Times New Roman" w:eastAsia="仿宋_GB2312" w:cs="Times New Roman"/>
                <w:color w:val="auto"/>
                <w:kern w:val="0"/>
                <w:sz w:val="21"/>
                <w:szCs w:val="16"/>
                <w:highlight w:val="none"/>
                <w:lang w:val="en-US" w:eastAsia="zh-CN"/>
              </w:rPr>
              <w:t>或</w:t>
            </w:r>
            <w:r>
              <w:rPr>
                <w:rFonts w:hint="eastAsia" w:eastAsia="仿宋_GB2312" w:cs="Times New Roman"/>
                <w:color w:val="auto"/>
                <w:kern w:val="0"/>
                <w:sz w:val="21"/>
                <w:szCs w:val="16"/>
                <w:highlight w:val="none"/>
                <w:lang w:val="en-US" w:eastAsia="zh-CN"/>
              </w:rPr>
              <w:t>在</w:t>
            </w:r>
            <w:r>
              <w:rPr>
                <w:rFonts w:hint="eastAsia" w:ascii="Times New Roman" w:hAnsi="Times New Roman" w:eastAsia="仿宋_GB2312" w:cs="Times New Roman"/>
                <w:color w:val="auto"/>
                <w:kern w:val="0"/>
                <w:sz w:val="21"/>
                <w:szCs w:val="16"/>
                <w:highlight w:val="none"/>
                <w:lang w:val="en-US" w:eastAsia="zh-CN"/>
              </w:rPr>
              <w:t>事业单位担任八级管理岗以上职员的；</w:t>
            </w:r>
            <w:r>
              <w:rPr>
                <w:rFonts w:hint="eastAsia" w:eastAsia="仿宋_GB2312" w:cs="Times New Roman"/>
                <w:color w:val="auto"/>
                <w:kern w:val="0"/>
                <w:sz w:val="21"/>
                <w:szCs w:val="16"/>
                <w:highlight w:val="none"/>
                <w:lang w:val="en-US" w:eastAsia="zh-CN"/>
              </w:rPr>
              <w:t>3.</w:t>
            </w:r>
            <w:r>
              <w:rPr>
                <w:rFonts w:hint="eastAsia" w:ascii="Times New Roman" w:hAnsi="Times New Roman" w:eastAsia="仿宋_GB2312" w:cs="Times New Roman"/>
                <w:color w:val="auto"/>
                <w:kern w:val="0"/>
                <w:sz w:val="21"/>
                <w:szCs w:val="16"/>
                <w:highlight w:val="none"/>
                <w:lang w:val="en-US" w:eastAsia="zh-CN"/>
              </w:rPr>
              <w:t>具有全日制硕士研究生学历学位的，或具有“985工程”、“211工程”或国家“双一流”建设大学全日制本科及以上学历、学士及以上学位的；</w:t>
            </w:r>
            <w:r>
              <w:rPr>
                <w:rFonts w:hint="eastAsia" w:eastAsia="仿宋_GB2312" w:cs="Times New Roman"/>
                <w:color w:val="auto"/>
                <w:kern w:val="0"/>
                <w:sz w:val="21"/>
                <w:szCs w:val="16"/>
                <w:highlight w:val="none"/>
                <w:lang w:val="en-US" w:eastAsia="zh-CN"/>
              </w:rPr>
              <w:t>4.</w:t>
            </w:r>
            <w:r>
              <w:rPr>
                <w:rFonts w:hint="eastAsia" w:ascii="Times New Roman" w:hAnsi="Times New Roman" w:eastAsia="仿宋_GB2312" w:cs="Times New Roman"/>
                <w:color w:val="auto"/>
                <w:kern w:val="0"/>
                <w:sz w:val="21"/>
                <w:szCs w:val="16"/>
                <w:highlight w:val="none"/>
                <w:lang w:val="en-US" w:eastAsia="zh-CN"/>
              </w:rPr>
              <w:t>具有注册会计师、一级建造师、一级造价工程师、注册监理工程师、法律职业资格、数据库系统工程师、信息系统管理工程师等</w:t>
            </w:r>
            <w:r>
              <w:rPr>
                <w:rFonts w:hint="eastAsia" w:eastAsia="仿宋_GB2312" w:cs="Times New Roman"/>
                <w:color w:val="auto"/>
                <w:kern w:val="0"/>
                <w:sz w:val="21"/>
                <w:szCs w:val="16"/>
                <w:highlight w:val="none"/>
                <w:lang w:val="en-US" w:eastAsia="zh-CN"/>
              </w:rPr>
              <w:t>资格的。</w:t>
            </w:r>
          </w:p>
        </w:tc>
      </w:tr>
      <w:tr>
        <w:tblPrEx>
          <w:tblCellMar>
            <w:top w:w="0" w:type="dxa"/>
            <w:left w:w="108" w:type="dxa"/>
            <w:bottom w:w="0" w:type="dxa"/>
            <w:right w:w="108" w:type="dxa"/>
          </w:tblCellMar>
        </w:tblPrEx>
        <w:trPr>
          <w:trHeight w:val="3312"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职位二</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4</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eastAsia="仿宋_GB2312"/>
                <w:color w:val="auto"/>
                <w:kern w:val="0"/>
                <w:sz w:val="24"/>
                <w:highlight w:val="none"/>
              </w:rPr>
            </w:pPr>
            <w:r>
              <w:rPr>
                <w:rFonts w:hint="eastAsia" w:eastAsia="仿宋_GB2312"/>
                <w:color w:val="auto"/>
                <w:kern w:val="0"/>
                <w:sz w:val="24"/>
                <w:highlight w:val="none"/>
              </w:rPr>
              <w:t>规划建设类（01）</w:t>
            </w:r>
          </w:p>
          <w:p>
            <w:pPr>
              <w:widowControl/>
              <w:snapToGrid w:val="0"/>
              <w:jc w:val="center"/>
              <w:rPr>
                <w:rFonts w:hint="eastAsia" w:eastAsia="仿宋_GB2312"/>
                <w:color w:val="auto"/>
                <w:kern w:val="0"/>
                <w:sz w:val="24"/>
                <w:highlight w:val="none"/>
              </w:rPr>
            </w:pPr>
            <w:r>
              <w:rPr>
                <w:rFonts w:hint="eastAsia" w:eastAsia="仿宋_GB2312"/>
                <w:color w:val="auto"/>
                <w:kern w:val="0"/>
                <w:sz w:val="24"/>
                <w:highlight w:val="none"/>
              </w:rPr>
              <w:t>法律类（06）</w:t>
            </w:r>
          </w:p>
          <w:p>
            <w:pPr>
              <w:widowControl/>
              <w:snapToGrid w:val="0"/>
              <w:jc w:val="center"/>
              <w:rPr>
                <w:rFonts w:hint="eastAsia" w:eastAsia="仿宋_GB2312"/>
                <w:color w:val="auto"/>
                <w:kern w:val="0"/>
                <w:sz w:val="24"/>
                <w:highlight w:val="none"/>
              </w:rPr>
            </w:pPr>
            <w:r>
              <w:rPr>
                <w:rFonts w:hint="eastAsia" w:eastAsia="仿宋_GB2312"/>
                <w:color w:val="auto"/>
                <w:kern w:val="0"/>
                <w:sz w:val="24"/>
                <w:highlight w:val="none"/>
              </w:rPr>
              <w:t>信息电子类（11）</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auto"/>
                <w:kern w:val="0"/>
                <w:sz w:val="24"/>
                <w:highlight w:val="none"/>
              </w:rPr>
            </w:pPr>
          </w:p>
        </w:tc>
        <w:tc>
          <w:tcPr>
            <w:tcW w:w="1590" w:type="dxa"/>
            <w:vMerge w:val="continue"/>
            <w:tcBorders>
              <w:left w:val="single" w:color="auto" w:sz="4" w:space="0"/>
              <w:bottom w:val="single" w:color="auto" w:sz="4" w:space="0"/>
              <w:right w:val="single" w:color="auto" w:sz="4" w:space="0"/>
            </w:tcBorders>
            <w:noWrap w:val="0"/>
            <w:vAlign w:val="center"/>
          </w:tcPr>
          <w:p>
            <w:pPr>
              <w:snapToGrid w:val="0"/>
              <w:jc w:val="center"/>
              <w:rPr>
                <w:rFonts w:eastAsia="仿宋_GB2312"/>
                <w:color w:val="auto"/>
                <w:kern w:val="0"/>
                <w:sz w:val="24"/>
                <w:highlight w:val="none"/>
              </w:rPr>
            </w:pPr>
          </w:p>
        </w:tc>
        <w:tc>
          <w:tcPr>
            <w:tcW w:w="2325" w:type="dxa"/>
            <w:vMerge w:val="continue"/>
            <w:tcBorders>
              <w:left w:val="single" w:color="auto" w:sz="4" w:space="0"/>
              <w:bottom w:val="single" w:color="auto" w:sz="4" w:space="0"/>
              <w:right w:val="single" w:color="auto" w:sz="4" w:space="0"/>
            </w:tcBorders>
            <w:noWrap w:val="0"/>
            <w:vAlign w:val="center"/>
          </w:tcPr>
          <w:p>
            <w:pPr>
              <w:widowControl/>
              <w:spacing w:line="560" w:lineRule="exact"/>
              <w:jc w:val="center"/>
              <w:rPr>
                <w:rFonts w:eastAsia="仿宋_GB2312"/>
                <w:color w:val="auto"/>
                <w:kern w:val="0"/>
                <w:sz w:val="24"/>
                <w:highlight w:val="none"/>
              </w:rPr>
            </w:pPr>
          </w:p>
        </w:tc>
        <w:tc>
          <w:tcPr>
            <w:tcW w:w="2300" w:type="dxa"/>
            <w:vMerge w:val="continue"/>
            <w:tcBorders>
              <w:left w:val="single" w:color="auto" w:sz="4" w:space="0"/>
              <w:bottom w:val="single" w:color="auto" w:sz="4" w:space="0"/>
              <w:right w:val="single" w:color="auto" w:sz="4" w:space="0"/>
            </w:tcBorders>
            <w:noWrap w:val="0"/>
            <w:vAlign w:val="center"/>
          </w:tcPr>
          <w:p>
            <w:pPr>
              <w:widowControl/>
              <w:spacing w:line="560" w:lineRule="exact"/>
              <w:jc w:val="center"/>
              <w:rPr>
                <w:rFonts w:eastAsia="仿宋_GB2312"/>
                <w:color w:val="auto"/>
                <w:kern w:val="0"/>
                <w:sz w:val="24"/>
                <w:highlight w:val="none"/>
              </w:rPr>
            </w:pPr>
          </w:p>
        </w:tc>
      </w:tr>
    </w:tbl>
    <w:p>
      <w:pPr>
        <w:widowControl/>
        <w:snapToGrid w:val="0"/>
        <w:jc w:val="lef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 xml:space="preserve">    </w:t>
      </w:r>
    </w:p>
    <w:p>
      <w:pPr>
        <w:widowControl/>
        <w:snapToGrid w:val="0"/>
        <w:ind w:firstLine="480" w:firstLineChars="200"/>
        <w:jc w:val="left"/>
        <w:rPr>
          <w:rFonts w:eastAsia="仿宋_GB2312"/>
          <w:color w:val="auto"/>
          <w:kern w:val="0"/>
          <w:sz w:val="24"/>
          <w:highlight w:val="none"/>
        </w:rPr>
      </w:pPr>
      <w:r>
        <w:rPr>
          <w:rFonts w:eastAsia="仿宋_GB2312"/>
          <w:color w:val="auto"/>
          <w:kern w:val="0"/>
          <w:sz w:val="24"/>
          <w:highlight w:val="none"/>
        </w:rPr>
        <w:t>说明：</w:t>
      </w:r>
      <w:r>
        <w:rPr>
          <w:rFonts w:hint="eastAsia" w:eastAsia="仿宋_GB2312"/>
          <w:color w:val="auto"/>
          <w:kern w:val="0"/>
          <w:sz w:val="24"/>
          <w:highlight w:val="none"/>
          <w:lang w:val="en-US" w:eastAsia="zh-CN"/>
        </w:rPr>
        <w:t xml:space="preserve">1. </w:t>
      </w:r>
      <w:r>
        <w:rPr>
          <w:rFonts w:eastAsia="仿宋_GB2312"/>
          <w:color w:val="auto"/>
          <w:kern w:val="0"/>
          <w:sz w:val="24"/>
          <w:highlight w:val="none"/>
        </w:rPr>
        <w:t>专业名称及代码参考《</w:t>
      </w:r>
      <w:r>
        <w:rPr>
          <w:rFonts w:hint="eastAsia" w:eastAsia="仿宋_GB2312"/>
          <w:color w:val="auto"/>
          <w:kern w:val="0"/>
          <w:sz w:val="24"/>
          <w:highlight w:val="none"/>
        </w:rPr>
        <w:t>广东省2023年考试录用公务员专业参考目录</w:t>
      </w:r>
      <w:r>
        <w:rPr>
          <w:rFonts w:eastAsia="仿宋_GB2312"/>
          <w:color w:val="auto"/>
          <w:kern w:val="0"/>
          <w:sz w:val="24"/>
          <w:highlight w:val="none"/>
        </w:rPr>
        <w:t>》</w:t>
      </w:r>
      <w:r>
        <w:rPr>
          <w:rFonts w:hint="eastAsia" w:eastAsia="仿宋_GB2312"/>
          <w:color w:val="auto"/>
          <w:kern w:val="0"/>
          <w:sz w:val="24"/>
          <w:highlight w:val="none"/>
          <w:lang w:eastAsia="zh-CN"/>
        </w:rPr>
        <w:t>（见附件</w:t>
      </w:r>
      <w:r>
        <w:rPr>
          <w:rFonts w:hint="eastAsia" w:eastAsia="仿宋_GB2312"/>
          <w:color w:val="auto"/>
          <w:kern w:val="0"/>
          <w:sz w:val="24"/>
          <w:highlight w:val="none"/>
          <w:lang w:val="en-US" w:eastAsia="zh-CN"/>
        </w:rPr>
        <w:t>2）</w:t>
      </w:r>
      <w:r>
        <w:rPr>
          <w:rFonts w:eastAsia="仿宋_GB2312"/>
          <w:color w:val="auto"/>
          <w:kern w:val="0"/>
          <w:sz w:val="24"/>
          <w:highlight w:val="none"/>
        </w:rPr>
        <w:t>确定。</w:t>
      </w:r>
    </w:p>
    <w:p>
      <w:pPr>
        <w:widowControl/>
        <w:snapToGrid w:val="0"/>
        <w:ind w:firstLine="480" w:firstLineChars="200"/>
        <w:jc w:val="lef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 xml:space="preserve">      2. 以上年龄、相关工作经验以及中级以上专业技术职称取得时间的计算截止日期为报名首日。</w:t>
      </w:r>
    </w:p>
    <w:p>
      <w:pPr>
        <w:keepNext w:val="0"/>
        <w:keepLines w:val="0"/>
        <w:pageBreakBefore w:val="0"/>
        <w:kinsoku/>
        <w:wordWrap/>
        <w:overflowPunct/>
        <w:topLinePunct w:val="0"/>
        <w:autoSpaceDE/>
        <w:autoSpaceDN/>
        <w:bidi w:val="0"/>
        <w:spacing w:before="0" w:beforeLines="0" w:after="0" w:afterLines="0" w:line="579" w:lineRule="exact"/>
        <w:ind w:left="0" w:leftChars="0" w:right="0" w:rightChars="0"/>
        <w:textAlignment w:val="auto"/>
        <w:outlineLvl w:val="9"/>
        <w:rPr>
          <w:color w:val="auto"/>
          <w:highlight w:val="none"/>
        </w:rPr>
      </w:pPr>
    </w:p>
    <w:p/>
    <w:sectPr>
      <w:pgSz w:w="16838" w:h="11906" w:orient="landscape"/>
      <w:pgMar w:top="964" w:right="1540" w:bottom="1077" w:left="1238" w:header="851" w:footer="771"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ZDQ1ZDE5M2YzOTYwZmYxYWE4ZmQ5ZDExMGVmNDkifQ=="/>
  </w:docVars>
  <w:rsids>
    <w:rsidRoot w:val="634F0336"/>
    <w:rsid w:val="1DFF519B"/>
    <w:rsid w:val="634F0336"/>
    <w:rsid w:val="6F8FFDEC"/>
    <w:rsid w:val="F7D24E4A"/>
    <w:rsid w:val="FB2FFE12"/>
    <w:rsid w:val="FDA709AC"/>
    <w:rsid w:val="FFFB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unhideWhenUsed/>
    <w:qFormat/>
    <w:uiPriority w:val="99"/>
  </w:style>
  <w:style w:type="paragraph" w:customStyle="1" w:styleId="6">
    <w:name w:val=" Char Char Char Char Char Char Char Char Char Char Char Char Char Char Char 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2023-12-15T07:12:00Z</dcterms:created>
  <dc:creator>畅畅</dc:creator>
  <cp:lastModifiedBy>sjt</cp:lastModifiedBy>
  <cp:lastPrinted>2023-12-15T12:06:00Z</cp:lastPrinted>
  <dcterms:modified xsi:type="dcterms:W3CDTF">2023-12-15T12:06:14Z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E48E46735E2E418E89C77B0681D51DF9_11</vt:lpwstr>
  </property>
</Properties>
</file>