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both"/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  <w:lang w:eastAsia="zh-CN"/>
        </w:rPr>
        <w:t>龙门县审计局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eastAsia="zh-CN"/>
        </w:rPr>
        <w:t>审计辅助人员级别认定条件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eastAsia="zh-CN"/>
        </w:rPr>
      </w:pP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龙门县审计局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审计辅助人员实行分级管理，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分为初级、中级和高级</w:t>
      </w:r>
      <w:r>
        <w:rPr>
          <w:rFonts w:hint="eastAsia" w:ascii="Times New Roman" w:hAnsi="仿宋_GB2312" w:eastAsia="仿宋_GB2312"/>
          <w:sz w:val="32"/>
        </w:rPr>
        <w:t>三个级别</w:t>
      </w:r>
      <w:r>
        <w:rPr>
          <w:rFonts w:hint="eastAsia" w:ascii="Times New Roman" w:hAnsi="仿宋_GB2312" w:eastAsia="仿宋_GB2312"/>
          <w:color w:val="000000"/>
          <w:sz w:val="32"/>
        </w:rPr>
        <w:t>。首次聘用级别按照以下规定确定：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具有下列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个条件的可以聘为初级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审计辅助人员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年龄在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全日制大学本科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以上学历和学士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以上学位（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具有相关专业初级以上国家认可的专业技术资格且有两年以上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计机关审计业务工作经历或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工程类专业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可放宽到全日制大专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以上学历）。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具备下列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个条件的可以聘为中级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审计辅助人员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年龄在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周岁以下（具有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专业技术资格或具有三年以上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审计机关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审计业务工作经历的可适当放宽）；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全日制大学本科以上学历和学士以上学位（具有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专业技术资格或具有三年以上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审计机关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审计业务工作经历的、工程类专业的可放宽到全日制大专以上学历）；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具有中级以上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专业技术资格或具有三年以上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审计机关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审计业务工作经历的。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具备下列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个条件的可以聘为高级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审计辅助人员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年龄在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周岁以下（具有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副高级以上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专业技术资格，或者具有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专业技术资格且有三年以上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审计机关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审计业务工作经历的可适当放宽）；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全日制大学本科以上学历和学士以上学位（具有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专业技术资格或具有三年以上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审计机关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审计业务工作经历的、工程类专业的可放宽到全日制大专以上学历）；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副高级以上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专业技术资格，或者具有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专业技术资格且有三年以上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审计机关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审计业务工作经历的。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审计辅助人员实行逐级晋升，应当具备下列条件：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（一）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获聘后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近三年年度考核结果均为称职以上等次；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（二）晋升中级审计辅助人员，应当被聘为初级审计辅助人员三年以上或者取得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中级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专业技术资格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（三）晋升高级审计辅助人员，应当取得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相关专业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副高级以上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专业技术资格，或者取得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相关专业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中级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国家认可的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专业技术资格且被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聘为中级审计辅助人员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eastAsia="仿宋_GB2312"/>
          <w:snapToGrid w:val="0"/>
          <w:color w:val="000000"/>
          <w:kern w:val="0"/>
          <w:sz w:val="32"/>
          <w:szCs w:val="32"/>
        </w:rPr>
        <w:t>年以上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YzRlOGE1OWRjZjdmZjQzNmUxNTNhYjRhNTY5NDEifQ=="/>
  </w:docVars>
  <w:rsids>
    <w:rsidRoot w:val="0CAE7614"/>
    <w:rsid w:val="0CA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2023-12-25T01:28:00Z</dcterms:created>
  <dc:creator>213</dc:creator>
  <cp:lastModifiedBy>213</cp:lastModifiedBy>
  <dcterms:modified xsi:type="dcterms:W3CDTF">2023-12-25T01:31:11Z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7087415A9CEB4DB2885008DAFBDA24D6_11</vt:lpwstr>
  </property>
</Properties>
</file>