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before="226" w:beforeAutospacing="0" w:after="0" w:afterAutospacing="0"/>
        <w:ind w:left="0" w:right="0"/>
      </w:pPr>
      <w:bookmarkStart w:id="0" w:name="_GoBack"/>
      <w:bookmarkEnd w:id="0"/>
      <w:r>
        <w:rPr>
          <w:shd w:val="clear" w:fill="FFFFFF"/>
        </w:rPr>
        <w:t>附件2：2023年阜新蒙古族自治县卫健系统事业单位公开招聘高学历人才岗位信息表</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549"/>
        <w:gridCol w:w="1889"/>
        <w:gridCol w:w="726"/>
        <w:gridCol w:w="1234"/>
        <w:gridCol w:w="895"/>
        <w:gridCol w:w="1345"/>
        <w:gridCol w:w="718"/>
        <w:gridCol w:w="523"/>
        <w:gridCol w:w="624"/>
        <w:gridCol w:w="2095"/>
        <w:gridCol w:w="29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rPr>
        <w:tc>
          <w:tcPr>
            <w:tcW w:w="570" w:type="dxa"/>
            <w:vMerge w:val="restart"/>
            <w:tcBorders>
              <w:top w:val="single" w:color="ADC3D5" w:sz="6" w:space="0"/>
              <w:left w:val="single" w:color="ADC3D5" w:sz="6" w:space="0"/>
              <w:bottom w:val="single" w:color="ADC3D5" w:sz="6" w:space="0"/>
              <w:right w:val="single" w:color="ADC3D5" w:sz="6" w:space="0"/>
            </w:tcBorders>
            <w:shd w:val="clear" w:color="auto" w:fill="F4FBFF"/>
            <w:tcMar>
              <w:top w:w="150" w:type="dxa"/>
              <w:left w:w="150" w:type="dxa"/>
              <w:bottom w:w="150" w:type="dxa"/>
              <w:right w:w="150"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b/>
                <w:bCs/>
                <w:sz w:val="22"/>
                <w:szCs w:val="22"/>
              </w:rPr>
            </w:pPr>
            <w:r>
              <w:rPr>
                <w:rFonts w:hint="eastAsia" w:ascii="宋体" w:hAnsi="宋体" w:eastAsia="宋体" w:cs="宋体"/>
                <w:b/>
                <w:bCs/>
                <w:kern w:val="0"/>
                <w:sz w:val="22"/>
                <w:szCs w:val="22"/>
                <w:bdr w:val="none" w:color="auto" w:sz="0" w:space="0"/>
                <w:lang w:val="en-US" w:eastAsia="zh-CN" w:bidi="ar"/>
              </w:rPr>
              <w:t>序号</w:t>
            </w:r>
          </w:p>
        </w:tc>
        <w:tc>
          <w:tcPr>
            <w:tcW w:w="2775" w:type="dxa"/>
            <w:vMerge w:val="restart"/>
            <w:tcBorders>
              <w:top w:val="single" w:color="ADC3D5" w:sz="6" w:space="0"/>
              <w:left w:val="single" w:color="ADC3D5" w:sz="6" w:space="0"/>
              <w:bottom w:val="single" w:color="ADC3D5" w:sz="6" w:space="0"/>
              <w:right w:val="single" w:color="ADC3D5" w:sz="6" w:space="0"/>
            </w:tcBorders>
            <w:shd w:val="clear" w:color="auto" w:fill="F4FBFF"/>
            <w:tcMar>
              <w:top w:w="150" w:type="dxa"/>
              <w:left w:w="150" w:type="dxa"/>
              <w:bottom w:w="150" w:type="dxa"/>
              <w:right w:w="150"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b/>
                <w:bCs/>
                <w:sz w:val="22"/>
                <w:szCs w:val="22"/>
              </w:rPr>
            </w:pPr>
            <w:r>
              <w:rPr>
                <w:rFonts w:hint="eastAsia" w:ascii="宋体" w:hAnsi="宋体" w:eastAsia="宋体" w:cs="宋体"/>
                <w:b/>
                <w:bCs/>
                <w:kern w:val="0"/>
                <w:sz w:val="22"/>
                <w:szCs w:val="22"/>
                <w:bdr w:val="none" w:color="auto" w:sz="0" w:space="0"/>
                <w:lang w:val="en-US" w:eastAsia="zh-CN" w:bidi="ar"/>
              </w:rPr>
              <w:t>招聘单位名称</w:t>
            </w:r>
          </w:p>
        </w:tc>
        <w:tc>
          <w:tcPr>
            <w:tcW w:w="885" w:type="dxa"/>
            <w:vMerge w:val="restart"/>
            <w:tcBorders>
              <w:top w:val="single" w:color="ADC3D5" w:sz="6" w:space="0"/>
              <w:left w:val="single" w:color="ADC3D5" w:sz="6" w:space="0"/>
              <w:bottom w:val="single" w:color="ADC3D5" w:sz="6" w:space="0"/>
              <w:right w:val="single" w:color="ADC3D5" w:sz="6" w:space="0"/>
            </w:tcBorders>
            <w:shd w:val="clear" w:color="auto" w:fill="F4FBFF"/>
            <w:tcMar>
              <w:top w:w="150" w:type="dxa"/>
              <w:left w:w="150" w:type="dxa"/>
              <w:bottom w:w="150" w:type="dxa"/>
              <w:right w:w="150" w:type="dxa"/>
            </w:tcMar>
            <w:vAlign w:val="center"/>
          </w:tcPr>
          <w:p>
            <w:pPr>
              <w:pStyle w:val="3"/>
              <w:keepNext w:val="0"/>
              <w:keepLines w:val="0"/>
              <w:widowControl/>
              <w:suppressLineNumbers w:val="0"/>
              <w:spacing w:line="390" w:lineRule="atLeast"/>
              <w:jc w:val="center"/>
            </w:pPr>
            <w:r>
              <w:rPr>
                <w:rFonts w:hint="eastAsia" w:ascii="宋体" w:hAnsi="宋体" w:eastAsia="宋体" w:cs="宋体"/>
                <w:b/>
                <w:bCs/>
                <w:sz w:val="22"/>
                <w:szCs w:val="22"/>
              </w:rPr>
              <w:t>经费</w:t>
            </w:r>
          </w:p>
          <w:p>
            <w:pPr>
              <w:pStyle w:val="3"/>
              <w:keepNext w:val="0"/>
              <w:keepLines w:val="0"/>
              <w:widowControl/>
              <w:suppressLineNumbers w:val="0"/>
              <w:spacing w:line="390" w:lineRule="atLeast"/>
              <w:jc w:val="center"/>
            </w:pPr>
            <w:r>
              <w:rPr>
                <w:rFonts w:hint="eastAsia" w:ascii="宋体" w:hAnsi="宋体" w:eastAsia="宋体" w:cs="宋体"/>
                <w:b/>
                <w:bCs/>
                <w:sz w:val="22"/>
                <w:szCs w:val="22"/>
              </w:rPr>
              <w:t>来源</w:t>
            </w:r>
          </w:p>
        </w:tc>
        <w:tc>
          <w:tcPr>
            <w:tcW w:w="1785" w:type="dxa"/>
            <w:vMerge w:val="restart"/>
            <w:tcBorders>
              <w:top w:val="single" w:color="ADC3D5" w:sz="6" w:space="0"/>
              <w:left w:val="single" w:color="ADC3D5" w:sz="6" w:space="0"/>
              <w:bottom w:val="single" w:color="ADC3D5" w:sz="6" w:space="0"/>
              <w:right w:val="single" w:color="ADC3D5" w:sz="6" w:space="0"/>
            </w:tcBorders>
            <w:shd w:val="clear" w:color="auto" w:fill="F4FBFF"/>
            <w:tcMar>
              <w:top w:w="150" w:type="dxa"/>
              <w:left w:w="150" w:type="dxa"/>
              <w:bottom w:w="150" w:type="dxa"/>
              <w:right w:w="150"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b/>
                <w:bCs/>
                <w:sz w:val="22"/>
                <w:szCs w:val="22"/>
              </w:rPr>
            </w:pPr>
            <w:r>
              <w:rPr>
                <w:rFonts w:hint="eastAsia" w:ascii="宋体" w:hAnsi="宋体" w:eastAsia="宋体" w:cs="宋体"/>
                <w:b/>
                <w:bCs/>
                <w:kern w:val="0"/>
                <w:sz w:val="22"/>
                <w:szCs w:val="22"/>
                <w:bdr w:val="none" w:color="auto" w:sz="0" w:space="0"/>
                <w:lang w:val="en-US" w:eastAsia="zh-CN" w:bidi="ar"/>
              </w:rPr>
              <w:t>主管部门</w:t>
            </w:r>
          </w:p>
        </w:tc>
        <w:tc>
          <w:tcPr>
            <w:tcW w:w="930" w:type="dxa"/>
            <w:vMerge w:val="restart"/>
            <w:tcBorders>
              <w:top w:val="single" w:color="ADC3D5" w:sz="6" w:space="0"/>
              <w:left w:val="single" w:color="ADC3D5" w:sz="6" w:space="0"/>
              <w:bottom w:val="single" w:color="ADC3D5" w:sz="6" w:space="0"/>
              <w:right w:val="single" w:color="ADC3D5" w:sz="6" w:space="0"/>
            </w:tcBorders>
            <w:shd w:val="clear" w:color="auto" w:fill="F4FBFF"/>
            <w:tcMar>
              <w:top w:w="150" w:type="dxa"/>
              <w:left w:w="150" w:type="dxa"/>
              <w:bottom w:w="150" w:type="dxa"/>
              <w:right w:w="150"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b/>
                <w:bCs/>
                <w:sz w:val="22"/>
                <w:szCs w:val="22"/>
              </w:rPr>
            </w:pPr>
            <w:r>
              <w:rPr>
                <w:rFonts w:hint="eastAsia" w:ascii="宋体" w:hAnsi="宋体" w:eastAsia="宋体" w:cs="宋体"/>
                <w:b/>
                <w:bCs/>
                <w:kern w:val="0"/>
                <w:sz w:val="22"/>
                <w:szCs w:val="22"/>
                <w:bdr w:val="none" w:color="auto" w:sz="0" w:space="0"/>
                <w:lang w:val="en-US" w:eastAsia="zh-CN" w:bidi="ar"/>
              </w:rPr>
              <w:t>招聘岗位</w:t>
            </w:r>
          </w:p>
        </w:tc>
        <w:tc>
          <w:tcPr>
            <w:tcW w:w="1980" w:type="dxa"/>
            <w:vMerge w:val="restart"/>
            <w:tcBorders>
              <w:top w:val="single" w:color="ADC3D5" w:sz="6" w:space="0"/>
              <w:left w:val="single" w:color="ADC3D5" w:sz="6" w:space="0"/>
              <w:bottom w:val="single" w:color="ADC3D5" w:sz="6" w:space="0"/>
              <w:right w:val="single" w:color="ADC3D5" w:sz="6" w:space="0"/>
            </w:tcBorders>
            <w:shd w:val="clear" w:color="auto" w:fill="F4FBFF"/>
            <w:tcMar>
              <w:top w:w="150" w:type="dxa"/>
              <w:left w:w="150" w:type="dxa"/>
              <w:bottom w:w="150" w:type="dxa"/>
              <w:right w:w="150"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b/>
                <w:bCs/>
                <w:sz w:val="22"/>
                <w:szCs w:val="22"/>
              </w:rPr>
            </w:pPr>
            <w:r>
              <w:rPr>
                <w:rFonts w:hint="eastAsia" w:ascii="宋体" w:hAnsi="宋体" w:eastAsia="宋体" w:cs="宋体"/>
                <w:b/>
                <w:bCs/>
                <w:kern w:val="0"/>
                <w:sz w:val="22"/>
                <w:szCs w:val="22"/>
                <w:bdr w:val="none" w:color="auto" w:sz="0" w:space="0"/>
                <w:lang w:val="en-US" w:eastAsia="zh-CN" w:bidi="ar"/>
              </w:rPr>
              <w:t>岗位简介</w:t>
            </w:r>
          </w:p>
        </w:tc>
        <w:tc>
          <w:tcPr>
            <w:tcW w:w="870" w:type="dxa"/>
            <w:vMerge w:val="restart"/>
            <w:tcBorders>
              <w:top w:val="single" w:color="ADC3D5" w:sz="6" w:space="0"/>
              <w:left w:val="single" w:color="ADC3D5" w:sz="6" w:space="0"/>
              <w:bottom w:val="single" w:color="ADC3D5" w:sz="6" w:space="0"/>
              <w:right w:val="single" w:color="ADC3D5" w:sz="6" w:space="0"/>
            </w:tcBorders>
            <w:shd w:val="clear" w:color="auto" w:fill="F4FBFF"/>
            <w:tcMar>
              <w:top w:w="150" w:type="dxa"/>
              <w:left w:w="150" w:type="dxa"/>
              <w:bottom w:w="150" w:type="dxa"/>
              <w:right w:w="150"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b/>
                <w:bCs/>
                <w:sz w:val="22"/>
                <w:szCs w:val="22"/>
              </w:rPr>
            </w:pPr>
            <w:r>
              <w:rPr>
                <w:rFonts w:hint="eastAsia" w:ascii="宋体" w:hAnsi="宋体" w:eastAsia="宋体" w:cs="宋体"/>
                <w:b/>
                <w:bCs/>
                <w:kern w:val="0"/>
                <w:sz w:val="22"/>
                <w:szCs w:val="22"/>
                <w:bdr w:val="none" w:color="auto" w:sz="0" w:space="0"/>
                <w:lang w:val="en-US" w:eastAsia="zh-CN" w:bidi="ar"/>
              </w:rPr>
              <w:t>岗位类别</w:t>
            </w:r>
          </w:p>
        </w:tc>
        <w:tc>
          <w:tcPr>
            <w:tcW w:w="525" w:type="dxa"/>
            <w:vMerge w:val="restart"/>
            <w:tcBorders>
              <w:top w:val="single" w:color="ADC3D5" w:sz="6" w:space="0"/>
              <w:left w:val="single" w:color="ADC3D5" w:sz="6" w:space="0"/>
              <w:bottom w:val="single" w:color="ADC3D5" w:sz="6" w:space="0"/>
              <w:right w:val="single" w:color="ADC3D5" w:sz="6" w:space="0"/>
            </w:tcBorders>
            <w:shd w:val="clear" w:color="auto" w:fill="F4FBFF"/>
            <w:tcMar>
              <w:top w:w="150" w:type="dxa"/>
              <w:left w:w="150" w:type="dxa"/>
              <w:bottom w:w="150" w:type="dxa"/>
              <w:right w:w="150"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b/>
                <w:bCs/>
                <w:sz w:val="22"/>
                <w:szCs w:val="22"/>
              </w:rPr>
            </w:pPr>
            <w:r>
              <w:rPr>
                <w:rFonts w:hint="eastAsia" w:ascii="宋体" w:hAnsi="宋体" w:eastAsia="宋体" w:cs="宋体"/>
                <w:b/>
                <w:bCs/>
                <w:kern w:val="0"/>
                <w:sz w:val="22"/>
                <w:szCs w:val="22"/>
                <w:bdr w:val="none" w:color="auto" w:sz="0" w:space="0"/>
                <w:lang w:val="en-US" w:eastAsia="zh-CN" w:bidi="ar"/>
              </w:rPr>
              <w:t>招聘人数</w:t>
            </w:r>
          </w:p>
        </w:tc>
        <w:tc>
          <w:tcPr>
            <w:tcW w:w="3675" w:type="dxa"/>
            <w:gridSpan w:val="2"/>
            <w:tcBorders>
              <w:top w:val="single" w:color="ADC3D5" w:sz="6" w:space="0"/>
              <w:left w:val="single" w:color="ADC3D5" w:sz="6" w:space="0"/>
              <w:bottom w:val="single" w:color="ADC3D5" w:sz="6" w:space="0"/>
              <w:right w:val="single" w:color="ADC3D5" w:sz="6" w:space="0"/>
            </w:tcBorders>
            <w:shd w:val="clear" w:color="auto" w:fill="F4FBFF"/>
            <w:tcMar>
              <w:top w:w="150" w:type="dxa"/>
              <w:left w:w="150" w:type="dxa"/>
              <w:bottom w:w="150" w:type="dxa"/>
              <w:right w:w="150"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b/>
                <w:bCs/>
                <w:sz w:val="22"/>
                <w:szCs w:val="22"/>
              </w:rPr>
            </w:pPr>
            <w:r>
              <w:rPr>
                <w:rFonts w:hint="eastAsia" w:ascii="宋体" w:hAnsi="宋体" w:eastAsia="宋体" w:cs="宋体"/>
                <w:b/>
                <w:bCs/>
                <w:kern w:val="0"/>
                <w:sz w:val="22"/>
                <w:szCs w:val="22"/>
                <w:bdr w:val="none" w:color="auto" w:sz="0" w:space="0"/>
                <w:lang w:val="en-US" w:eastAsia="zh-CN" w:bidi="ar"/>
              </w:rPr>
              <w:t>招聘岗位资格条件</w:t>
            </w:r>
          </w:p>
        </w:tc>
        <w:tc>
          <w:tcPr>
            <w:tcW w:w="0" w:type="auto"/>
            <w:vMerge w:val="restart"/>
            <w:tcBorders>
              <w:top w:val="single" w:color="ADC3D5" w:sz="6" w:space="0"/>
              <w:left w:val="single" w:color="ADC3D5" w:sz="6" w:space="0"/>
              <w:bottom w:val="single" w:color="ADC3D5" w:sz="6" w:space="0"/>
              <w:right w:val="single" w:color="ADC3D5" w:sz="6" w:space="0"/>
            </w:tcBorders>
            <w:shd w:val="clear" w:color="auto" w:fill="F4FBFF"/>
            <w:tcMar>
              <w:top w:w="150" w:type="dxa"/>
              <w:left w:w="150" w:type="dxa"/>
              <w:bottom w:w="150" w:type="dxa"/>
              <w:right w:w="150"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b/>
                <w:bCs/>
                <w:sz w:val="22"/>
                <w:szCs w:val="22"/>
              </w:rPr>
            </w:pPr>
            <w:r>
              <w:rPr>
                <w:rFonts w:hint="eastAsia" w:ascii="宋体" w:hAnsi="宋体" w:eastAsia="宋体" w:cs="宋体"/>
                <w:b/>
                <w:bCs/>
                <w:kern w:val="0"/>
                <w:sz w:val="22"/>
                <w:szCs w:val="22"/>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70" w:type="dxa"/>
            <w:vMerge w:val="continue"/>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jc w:val="center"/>
              <w:rPr>
                <w:rFonts w:hint="eastAsia" w:ascii="宋体" w:hAnsi="宋体" w:eastAsia="宋体" w:cs="宋体"/>
                <w:b/>
                <w:bCs/>
                <w:sz w:val="22"/>
                <w:szCs w:val="22"/>
              </w:rPr>
            </w:pPr>
          </w:p>
        </w:tc>
        <w:tc>
          <w:tcPr>
            <w:tcW w:w="2775" w:type="dxa"/>
            <w:vMerge w:val="continue"/>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jc w:val="center"/>
              <w:rPr>
                <w:rFonts w:hint="eastAsia" w:ascii="宋体" w:hAnsi="宋体" w:eastAsia="宋体" w:cs="宋体"/>
                <w:b/>
                <w:bCs/>
                <w:sz w:val="22"/>
                <w:szCs w:val="22"/>
              </w:rPr>
            </w:pPr>
          </w:p>
        </w:tc>
        <w:tc>
          <w:tcPr>
            <w:tcW w:w="885" w:type="dxa"/>
            <w:vMerge w:val="continue"/>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jc w:val="center"/>
              <w:rPr>
                <w:rFonts w:hint="eastAsia" w:ascii="宋体" w:hAnsi="宋体" w:eastAsia="宋体" w:cs="宋体"/>
                <w:b/>
                <w:bCs/>
                <w:sz w:val="22"/>
                <w:szCs w:val="22"/>
              </w:rPr>
            </w:pPr>
          </w:p>
        </w:tc>
        <w:tc>
          <w:tcPr>
            <w:tcW w:w="1785" w:type="dxa"/>
            <w:vMerge w:val="continue"/>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jc w:val="center"/>
              <w:rPr>
                <w:rFonts w:hint="eastAsia" w:ascii="宋体" w:hAnsi="宋体" w:eastAsia="宋体" w:cs="宋体"/>
                <w:b/>
                <w:bCs/>
                <w:sz w:val="22"/>
                <w:szCs w:val="22"/>
              </w:rPr>
            </w:pPr>
          </w:p>
        </w:tc>
        <w:tc>
          <w:tcPr>
            <w:tcW w:w="930" w:type="dxa"/>
            <w:vMerge w:val="continue"/>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jc w:val="center"/>
              <w:rPr>
                <w:rFonts w:hint="eastAsia" w:ascii="宋体" w:hAnsi="宋体" w:eastAsia="宋体" w:cs="宋体"/>
                <w:b/>
                <w:bCs/>
                <w:sz w:val="22"/>
                <w:szCs w:val="22"/>
              </w:rPr>
            </w:pPr>
          </w:p>
        </w:tc>
        <w:tc>
          <w:tcPr>
            <w:tcW w:w="1980" w:type="dxa"/>
            <w:vMerge w:val="continue"/>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jc w:val="center"/>
              <w:rPr>
                <w:rFonts w:hint="eastAsia" w:ascii="宋体" w:hAnsi="宋体" w:eastAsia="宋体" w:cs="宋体"/>
                <w:b/>
                <w:bCs/>
                <w:sz w:val="22"/>
                <w:szCs w:val="22"/>
              </w:rPr>
            </w:pPr>
          </w:p>
        </w:tc>
        <w:tc>
          <w:tcPr>
            <w:tcW w:w="870" w:type="dxa"/>
            <w:vMerge w:val="continue"/>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jc w:val="center"/>
              <w:rPr>
                <w:rFonts w:hint="eastAsia" w:ascii="宋体" w:hAnsi="宋体" w:eastAsia="宋体" w:cs="宋体"/>
                <w:b/>
                <w:bCs/>
                <w:sz w:val="22"/>
                <w:szCs w:val="22"/>
              </w:rPr>
            </w:pPr>
          </w:p>
        </w:tc>
        <w:tc>
          <w:tcPr>
            <w:tcW w:w="525" w:type="dxa"/>
            <w:vMerge w:val="continue"/>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jc w:val="center"/>
              <w:rPr>
                <w:rFonts w:hint="eastAsia" w:ascii="宋体" w:hAnsi="宋体" w:eastAsia="宋体" w:cs="宋体"/>
                <w:b/>
                <w:bCs/>
                <w:sz w:val="22"/>
                <w:szCs w:val="22"/>
              </w:rPr>
            </w:pPr>
          </w:p>
        </w:tc>
        <w:tc>
          <w:tcPr>
            <w:tcW w:w="70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学历</w:t>
            </w:r>
          </w:p>
        </w:tc>
        <w:tc>
          <w:tcPr>
            <w:tcW w:w="297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专业类别</w:t>
            </w:r>
          </w:p>
        </w:tc>
        <w:tc>
          <w:tcPr>
            <w:tcW w:w="0" w:type="auto"/>
            <w:vMerge w:val="continue"/>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jc w:val="center"/>
              <w:rPr>
                <w:rFonts w:hint="eastAsia" w:ascii="宋体" w:hAnsi="宋体" w:eastAsia="宋体" w:cs="宋体"/>
                <w:b/>
                <w:bCs/>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65" w:hRule="atLeast"/>
        </w:trPr>
        <w:tc>
          <w:tcPr>
            <w:tcW w:w="57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1</w:t>
            </w:r>
          </w:p>
        </w:tc>
        <w:tc>
          <w:tcPr>
            <w:tcW w:w="277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阜新蒙古族自治县蒙医医院（辽宁省阜新蒙医药研究所）</w:t>
            </w:r>
          </w:p>
        </w:tc>
        <w:tc>
          <w:tcPr>
            <w:tcW w:w="88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全额拨款</w:t>
            </w:r>
          </w:p>
        </w:tc>
        <w:tc>
          <w:tcPr>
            <w:tcW w:w="178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阜新蒙古族自治县卫生健康局</w:t>
            </w:r>
          </w:p>
        </w:tc>
        <w:tc>
          <w:tcPr>
            <w:tcW w:w="93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工作人员(一）</w:t>
            </w:r>
          </w:p>
        </w:tc>
        <w:tc>
          <w:tcPr>
            <w:tcW w:w="198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从事蒙医临床研究</w:t>
            </w:r>
          </w:p>
        </w:tc>
        <w:tc>
          <w:tcPr>
            <w:tcW w:w="87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专技岗位</w:t>
            </w:r>
          </w:p>
        </w:tc>
        <w:tc>
          <w:tcPr>
            <w:tcW w:w="0" w:type="auto"/>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4</w:t>
            </w:r>
          </w:p>
        </w:tc>
        <w:tc>
          <w:tcPr>
            <w:tcW w:w="70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研究生</w:t>
            </w:r>
          </w:p>
        </w:tc>
        <w:tc>
          <w:tcPr>
            <w:tcW w:w="297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民族医学（含藏医学、蒙医学等）、中医学、中西医结合</w:t>
            </w:r>
          </w:p>
        </w:tc>
        <w:tc>
          <w:tcPr>
            <w:tcW w:w="153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0" w:type="auto"/>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2</w:t>
            </w:r>
          </w:p>
        </w:tc>
        <w:tc>
          <w:tcPr>
            <w:tcW w:w="277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阜新蒙古族自治县蒙医医院（辽宁省阜新蒙医药研究所）</w:t>
            </w:r>
          </w:p>
        </w:tc>
        <w:tc>
          <w:tcPr>
            <w:tcW w:w="88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全额拨款</w:t>
            </w:r>
          </w:p>
        </w:tc>
        <w:tc>
          <w:tcPr>
            <w:tcW w:w="178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阜新蒙古族自治县卫生健康局</w:t>
            </w:r>
          </w:p>
        </w:tc>
        <w:tc>
          <w:tcPr>
            <w:tcW w:w="93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工作人员(二）</w:t>
            </w:r>
          </w:p>
        </w:tc>
        <w:tc>
          <w:tcPr>
            <w:tcW w:w="198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从事蒙药研究</w:t>
            </w:r>
          </w:p>
        </w:tc>
        <w:tc>
          <w:tcPr>
            <w:tcW w:w="87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专技岗位</w:t>
            </w:r>
          </w:p>
        </w:tc>
        <w:tc>
          <w:tcPr>
            <w:tcW w:w="0" w:type="auto"/>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3</w:t>
            </w:r>
          </w:p>
        </w:tc>
        <w:tc>
          <w:tcPr>
            <w:tcW w:w="70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研究生</w:t>
            </w:r>
          </w:p>
        </w:tc>
        <w:tc>
          <w:tcPr>
            <w:tcW w:w="297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中药学、药学、药理学</w:t>
            </w:r>
          </w:p>
        </w:tc>
        <w:tc>
          <w:tcPr>
            <w:tcW w:w="153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trPr>
        <w:tc>
          <w:tcPr>
            <w:tcW w:w="57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3</w:t>
            </w:r>
          </w:p>
        </w:tc>
        <w:tc>
          <w:tcPr>
            <w:tcW w:w="277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阜新蒙古族自治县蒙医医院（辽宁省阜新蒙医药研究所）</w:t>
            </w:r>
          </w:p>
        </w:tc>
        <w:tc>
          <w:tcPr>
            <w:tcW w:w="88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全额拨款</w:t>
            </w:r>
          </w:p>
        </w:tc>
        <w:tc>
          <w:tcPr>
            <w:tcW w:w="178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阜新蒙古族自治县卫生健康局</w:t>
            </w:r>
          </w:p>
        </w:tc>
        <w:tc>
          <w:tcPr>
            <w:tcW w:w="93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工作人员(三）</w:t>
            </w:r>
          </w:p>
        </w:tc>
        <w:tc>
          <w:tcPr>
            <w:tcW w:w="198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从事蒙药学研究</w:t>
            </w:r>
          </w:p>
        </w:tc>
        <w:tc>
          <w:tcPr>
            <w:tcW w:w="87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专技岗位</w:t>
            </w:r>
          </w:p>
        </w:tc>
        <w:tc>
          <w:tcPr>
            <w:tcW w:w="0" w:type="auto"/>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1</w:t>
            </w:r>
          </w:p>
        </w:tc>
        <w:tc>
          <w:tcPr>
            <w:tcW w:w="70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研究生</w:t>
            </w:r>
          </w:p>
        </w:tc>
        <w:tc>
          <w:tcPr>
            <w:tcW w:w="297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生物化学与分子生物学、药物化学 、药剂学 </w:t>
            </w:r>
          </w:p>
        </w:tc>
        <w:tc>
          <w:tcPr>
            <w:tcW w:w="153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0" w:type="auto"/>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4</w:t>
            </w:r>
          </w:p>
        </w:tc>
        <w:tc>
          <w:tcPr>
            <w:tcW w:w="277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阜新蒙古族自治县蒙医医院（辽宁省阜新蒙医药研究所）</w:t>
            </w:r>
          </w:p>
        </w:tc>
        <w:tc>
          <w:tcPr>
            <w:tcW w:w="88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全额拨款</w:t>
            </w:r>
          </w:p>
        </w:tc>
        <w:tc>
          <w:tcPr>
            <w:tcW w:w="178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阜新蒙古族自治县卫生健康局</w:t>
            </w:r>
          </w:p>
        </w:tc>
        <w:tc>
          <w:tcPr>
            <w:tcW w:w="93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工作人员(四）</w:t>
            </w:r>
          </w:p>
        </w:tc>
        <w:tc>
          <w:tcPr>
            <w:tcW w:w="198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从事藏文文献研究工作</w:t>
            </w:r>
          </w:p>
        </w:tc>
        <w:tc>
          <w:tcPr>
            <w:tcW w:w="87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专技岗位</w:t>
            </w:r>
          </w:p>
        </w:tc>
        <w:tc>
          <w:tcPr>
            <w:tcW w:w="52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2</w:t>
            </w:r>
          </w:p>
        </w:tc>
        <w:tc>
          <w:tcPr>
            <w:tcW w:w="70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研究生</w:t>
            </w:r>
          </w:p>
        </w:tc>
        <w:tc>
          <w:tcPr>
            <w:tcW w:w="297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中国少数民族语言文学（藏语）、历史文献学</w:t>
            </w:r>
          </w:p>
        </w:tc>
        <w:tc>
          <w:tcPr>
            <w:tcW w:w="153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5" w:hRule="atLeast"/>
        </w:trPr>
        <w:tc>
          <w:tcPr>
            <w:tcW w:w="57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5</w:t>
            </w:r>
          </w:p>
        </w:tc>
        <w:tc>
          <w:tcPr>
            <w:tcW w:w="277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阜新蒙古族自治县蒙医医院（辽宁省阜新蒙医药研究所）</w:t>
            </w:r>
          </w:p>
        </w:tc>
        <w:tc>
          <w:tcPr>
            <w:tcW w:w="88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全额拨款</w:t>
            </w:r>
          </w:p>
        </w:tc>
        <w:tc>
          <w:tcPr>
            <w:tcW w:w="178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阜新蒙古族自治县卫生健康局</w:t>
            </w:r>
          </w:p>
        </w:tc>
        <w:tc>
          <w:tcPr>
            <w:tcW w:w="93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工作人员(五）</w:t>
            </w:r>
          </w:p>
        </w:tc>
        <w:tc>
          <w:tcPr>
            <w:tcW w:w="198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从事蒙古文文献研究工作</w:t>
            </w:r>
          </w:p>
        </w:tc>
        <w:tc>
          <w:tcPr>
            <w:tcW w:w="87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专技岗位</w:t>
            </w:r>
          </w:p>
        </w:tc>
        <w:tc>
          <w:tcPr>
            <w:tcW w:w="52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2</w:t>
            </w:r>
          </w:p>
        </w:tc>
        <w:tc>
          <w:tcPr>
            <w:tcW w:w="70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研究生</w:t>
            </w:r>
          </w:p>
        </w:tc>
        <w:tc>
          <w:tcPr>
            <w:tcW w:w="297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中国少数民族语言文学（蒙语）、中医医史文献、历史文献学</w:t>
            </w:r>
          </w:p>
        </w:tc>
        <w:tc>
          <w:tcPr>
            <w:tcW w:w="153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5" w:hRule="atLeast"/>
        </w:trPr>
        <w:tc>
          <w:tcPr>
            <w:tcW w:w="0" w:type="auto"/>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6</w:t>
            </w:r>
          </w:p>
        </w:tc>
        <w:tc>
          <w:tcPr>
            <w:tcW w:w="277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阜新蒙古族自治县蒙医医院（辽宁省阜新蒙医药研究所）</w:t>
            </w:r>
          </w:p>
        </w:tc>
        <w:tc>
          <w:tcPr>
            <w:tcW w:w="88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全额拨款</w:t>
            </w:r>
          </w:p>
        </w:tc>
        <w:tc>
          <w:tcPr>
            <w:tcW w:w="178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阜新蒙古族自治县卫生健康局</w:t>
            </w:r>
          </w:p>
        </w:tc>
        <w:tc>
          <w:tcPr>
            <w:tcW w:w="93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工作人员(六）</w:t>
            </w:r>
          </w:p>
        </w:tc>
        <w:tc>
          <w:tcPr>
            <w:tcW w:w="198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从事蒙医药文物整理展览策划及蒙藏文古籍整理研究</w:t>
            </w:r>
          </w:p>
        </w:tc>
        <w:tc>
          <w:tcPr>
            <w:tcW w:w="87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专技岗位</w:t>
            </w:r>
          </w:p>
        </w:tc>
        <w:tc>
          <w:tcPr>
            <w:tcW w:w="52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2</w:t>
            </w:r>
          </w:p>
        </w:tc>
        <w:tc>
          <w:tcPr>
            <w:tcW w:w="70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研究生</w:t>
            </w:r>
          </w:p>
        </w:tc>
        <w:tc>
          <w:tcPr>
            <w:tcW w:w="297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中国少数民族语言文学 、文物与博物馆、旅游管理 </w:t>
            </w:r>
          </w:p>
        </w:tc>
        <w:tc>
          <w:tcPr>
            <w:tcW w:w="0" w:type="auto"/>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57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7</w:t>
            </w:r>
          </w:p>
        </w:tc>
        <w:tc>
          <w:tcPr>
            <w:tcW w:w="277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阜新蒙古族自治县蒙医医院（辽宁省阜新蒙医药研究所）</w:t>
            </w:r>
          </w:p>
        </w:tc>
        <w:tc>
          <w:tcPr>
            <w:tcW w:w="88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全额拨款</w:t>
            </w:r>
          </w:p>
        </w:tc>
        <w:tc>
          <w:tcPr>
            <w:tcW w:w="178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阜新蒙古族自治县卫生健康局</w:t>
            </w:r>
          </w:p>
        </w:tc>
        <w:tc>
          <w:tcPr>
            <w:tcW w:w="93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工作人员(七）</w:t>
            </w:r>
          </w:p>
        </w:tc>
        <w:tc>
          <w:tcPr>
            <w:tcW w:w="198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从事蒙藏文医药古籍整理</w:t>
            </w:r>
          </w:p>
        </w:tc>
        <w:tc>
          <w:tcPr>
            <w:tcW w:w="87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专技岗位</w:t>
            </w:r>
          </w:p>
        </w:tc>
        <w:tc>
          <w:tcPr>
            <w:tcW w:w="0" w:type="auto"/>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1</w:t>
            </w:r>
          </w:p>
        </w:tc>
        <w:tc>
          <w:tcPr>
            <w:tcW w:w="70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研究生</w:t>
            </w:r>
          </w:p>
        </w:tc>
        <w:tc>
          <w:tcPr>
            <w:tcW w:w="297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教育学、教育</w:t>
            </w:r>
          </w:p>
        </w:tc>
        <w:tc>
          <w:tcPr>
            <w:tcW w:w="153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蒙藏语兼通，具有进修结业证书</w:t>
            </w:r>
          </w:p>
        </w:tc>
      </w:tr>
    </w:tbl>
    <w:p/>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layui-ico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lYjBmMGViN2E2NzFjNTJmZjYyMjczYjI3MzY0M2UifQ=="/>
  </w:docVars>
  <w:rsids>
    <w:rsidRoot w:val="379659C4"/>
    <w:rsid w:val="379659C4"/>
    <w:rsid w:val="38365E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003399"/>
      <w:u w:val="none"/>
    </w:rPr>
  </w:style>
  <w:style w:type="character" w:styleId="8">
    <w:name w:val="Hyperlink"/>
    <w:basedOn w:val="5"/>
    <w:uiPriority w:val="0"/>
    <w:rPr>
      <w:color w:val="003399"/>
      <w:u w:val="none"/>
    </w:rPr>
  </w:style>
  <w:style w:type="character" w:customStyle="1" w:styleId="9">
    <w:name w:val="layui-laypage-curr"/>
    <w:basedOn w:val="5"/>
    <w:uiPriority w:val="0"/>
    <w:rPr>
      <w:bdr w:val="none" w:color="auto" w:sz="0" w:space="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137</TotalTime>
  <ScaleCrop>false</ScaleCrop>
  <LinksUpToDate>false</LinksUpToDate>
  <CharactersWithSpaces>0</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2024-01-02T09:56:00Z</dcterms:created>
  <dc:creator>Administrator</dc:creator>
  <cp:lastModifiedBy>Administrator</cp:lastModifiedBy>
  <dcterms:modified xsi:type="dcterms:W3CDTF">2024-01-02T12:14:20Z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77EE21093FA941E5BFBF0220FB06EE2A_13</vt:lpwstr>
  </property>
</Properties>
</file>