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4"/>
        <w:tblW w:w="13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24"/>
        <w:gridCol w:w="1207"/>
        <w:gridCol w:w="672"/>
        <w:gridCol w:w="687"/>
        <w:gridCol w:w="715"/>
        <w:gridCol w:w="673"/>
        <w:gridCol w:w="925"/>
        <w:gridCol w:w="687"/>
        <w:gridCol w:w="2593"/>
        <w:gridCol w:w="771"/>
        <w:gridCol w:w="1359"/>
        <w:gridCol w:w="870"/>
        <w:gridCol w:w="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中共深圳市南山区委党校2024年博士选聘岗位表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是否要求全日制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中共深圳市南山区委党校（行政学院、社会主义学院）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中共深圳市南山区委党校（行政学院、社会主义学院）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十级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哲学、经济学、政治学、马克思主义理论、心理学、公共管理、能源动力、信息技术等相关专业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市内外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财政核拨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8F828"/>
    <w:rsid w:val="5EC8F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2024-01-04T10:00:00Z</dcterms:created>
  <dc:creator>亓世龙</dc:creator>
  <cp:lastModifiedBy>亓世龙</cp:lastModifiedBy>
  <dcterms:modified xsi:type="dcterms:W3CDTF">2024-01-04T10:00:47Z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