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10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05"/>
        <w:gridCol w:w="2112"/>
        <w:gridCol w:w="816"/>
        <w:gridCol w:w="1034"/>
        <w:gridCol w:w="950"/>
        <w:gridCol w:w="158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公共项目科（市政交通科）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承担线性工程类项目或房建类项目的规划用地审批等相关工作。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学士及以上学位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本科层次：B0816电气类；B0819交通运输类；B0811土木类；B070503人文地理与城乡规划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研究生层次：A0808电气工程；A0814土木工程；A0823交通运输工程；A0833城乡规划学；A084405市政工程硕士</w:t>
            </w:r>
          </w:p>
        </w:tc>
        <w:tc>
          <w:tcPr>
            <w:tcW w:w="212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1.具有2年及以上规划土地资源管理工作经验者优先；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2.熟悉运用CAD、ARCGIS等相关软件操作者优先；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3.具有较强的公文写作能力、沟通能力，有相关工作经历者优先。</w:t>
            </w:r>
          </w:p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从事办公室财务相关工作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学士及以上学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会计学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有机关事业单位相关工作经验者优先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1"/>
          <w:szCs w:val="21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C9B20AA"/>
    <w:rsid w:val="3CF75744"/>
    <w:rsid w:val="3E76B7C6"/>
    <w:rsid w:val="42A31BB9"/>
    <w:rsid w:val="43EF3E73"/>
    <w:rsid w:val="4ADD461A"/>
    <w:rsid w:val="4F900C04"/>
    <w:rsid w:val="59E554FA"/>
    <w:rsid w:val="5BEF8BEA"/>
    <w:rsid w:val="60EC1E7D"/>
    <w:rsid w:val="71FDDCC2"/>
    <w:rsid w:val="777EBE94"/>
    <w:rsid w:val="797F530B"/>
    <w:rsid w:val="7D5C165B"/>
    <w:rsid w:val="7DFD3648"/>
    <w:rsid w:val="7FFB0908"/>
    <w:rsid w:val="7FFF2D1C"/>
    <w:rsid w:val="9D7C0290"/>
    <w:rsid w:val="B7ED1CF8"/>
    <w:rsid w:val="F7733F4E"/>
    <w:rsid w:val="F7A66FD3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6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2019-05-31T00:44:00Z</dcterms:created>
  <dc:creator>null</dc:creator>
  <cp:lastModifiedBy>gm</cp:lastModifiedBy>
  <cp:lastPrinted>2024-01-26T19:56:00Z</cp:lastPrinted>
  <dcterms:modified xsi:type="dcterms:W3CDTF">2024-01-26T12:02:40Z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23898867FD2D6726932DB3656748E1AD</vt:lpwstr>
  </property>
</Properties>
</file>