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58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2024年十堰市直事业单位引进高层次人才</w:t>
      </w:r>
      <w:r>
        <w:rPr>
          <w:rFonts w:hint="eastAsia" w:asci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为避免我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市事业单位引进高层次人才报名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和资格审核工作的盲目性和随意性，方便考生报考，我们根据各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单位岗位的专业要求，制定了本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0"/>
          <w:szCs w:val="30"/>
        </w:rPr>
        <w:t>，供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考生报名和资格审查</w:t>
      </w:r>
      <w:r>
        <w:rPr>
          <w:rFonts w:hint="eastAsia" w:ascii="仿宋_GB2312" w:hAnsi="仿宋_GB2312" w:eastAsia="仿宋_GB2312" w:cs="仿宋_GB2312"/>
          <w:sz w:val="30"/>
          <w:szCs w:val="30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专业设置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的情况说明：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（一）专业选择“不限”的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（二）专业选择1个及以上“×××类”的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，原则上按照大类所列专业进行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报名和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资格审查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对目录未收录进来的某些专业，专业背景与该专业大类又相关相同，由引进单位根据岗位实际需求和专业所学课程的匹配性，自主决定该专业能否报考。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（四）本表是根椐单位所需专业设置，与国家相关专业设置无关。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本表仅限于本次人才引进工作使用。</w:t>
      </w:r>
    </w:p>
    <w:p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tbl>
      <w:tblPr>
        <w:tblStyle w:val="2"/>
        <w:tblW w:w="135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15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专业大类名称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研究生专业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理论经济学类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政治经济学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经济思想史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人口资源与环境经济学等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应用经济学类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区域经济学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产业经济学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国民经济学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财政学(含:税收学)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金融学(含:保险学）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国际贸易学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劳动经济学等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新闻传播学类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新闻学，传播学，新闻与传播，出版，编辑出版学，媒体与文化分析专业，广告学等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财务会计类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会计学，审计理论研究，政府审计理论与实务，内部控制与内部审计，独立审计与实务，审计学，财务管理，会计硕士专业，审计等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法学，法律，比较法学，民事诉讼法学，宪法学与行政法学，中国刑法学，国际法，经济刑法学，犯罪学，民法学，刑事诉讼法学, 行政诉讼法学，法学理论，法理学，法律史，刑法学，民商法学, 诉讼法学，经济法学，环境与资 源保护法学，国际法学，国际公法，国际私法，国际经济法，法律硕士，军事法学，航空法与空问法，国际人权法，国际环境法, 国际民事诉讼与仲裁，WTO法律 制度，中国司法制度，比较司法 制度，比较刑法学，司法制度，法律逻辑，知识产权，知识产权法学，民族法学等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中国语言文学类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文艺学，语言学及应用语言学，汉语言文字学，中国古典文献学, 中国古代文学，中国现当代文学, 文学阅读与文学教育，比较文学与世界文学，经济秘书，中国少数民族语言文学等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电子信息类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物理电子学，电路与系统，微电子学与固体电子学，电磁场与微波技术，通信与信息系统，信号与信息处理，电子与通信工程，无线电物流，电子科学与技术等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图书情报与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档案管理类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图书馆学，情报学，档案学，图书情报硕士专业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土木类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岩土工程，结构工程，市政工程, 供热、供燃气、通风及空调工程, 防灾减灾工程及防护工程，桥梁 与隧道工程，建筑与土木工程，建筑与土木工程领域，土木与环境工程，给排水工程等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建筑类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建筑历史与理论，建筑设计及其理论，城市规划与设计，建筑技术科学，建筑学，城乡规划学，风景园林学，城市规划，房地产和建筑管理等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物流管理与工程类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物流工程等工程硕士专业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机械制造及自动化，机械电子工程，机械设计及理论，车辆工程，机械工程，高级制造技术等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电气类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电机与电器，电力系统及其自动化，高电压与绝缘技术，电力电子与电力传动，电工理论与新技术，电气工程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财政学类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财政学，税收学，税务等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经济学类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政治经济学，经济思想史，经济史，西方经济学，世界经济，人口、资源与环境经济学，发展经济学，法律经济学，国民经济学, 区域经济学，产业经济学，劳动经济学，数量经济学，国防经济学，国防经济，经济信息管理学, 资产评估，公共经济学，网络经济学，规制经济学，统计学，统计应用与经济计量分析，经济管理统计，应用数理统计，金额统计，经济统计与分析，应用统计, 审计，可持续发展及应用、国际贸易学，服务贸易学等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体育学类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体育人文社会学，运动人体科学，体育教育训练学，民族传统体育学，体育硕士专业（体育教学、运动训练、竞赛组织、社会体育指导）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金融学类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金融学，保险学，金融工程，投资学，金融，保险，应用金融，金融与管理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管理类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行政管理，公共政策学，公共管理硕士专业，人力资源管理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社会医学与卫生事业管理，教育经济与管理，劳动与社会保障，社会保障，土地资源管理，土地管理，社会保障学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企业管理，技术经济及管理，国际商务，市场营销管理，工商管理硕士专业，管理硕士专业，管理专业硕士，农业经济管理，林业经济管理，农业推广硕士专业（农村与区域 发展），管理科学与工程，项目管理等工程硕士专业，营运与供应链管理，工程管理硕士专业，物流工程等工程硕士专业，工业工程，工业设计工程等工程硕士专业，旅游管理，旅游管理硕士专业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OGMwNzQyYmNhOWY4ZDdkMjBiZmNmN2ZkNjE0ZDIifQ=="/>
  </w:docVars>
  <w:rsids>
    <w:rsidRoot w:val="113049AB"/>
    <w:rsid w:val="004C2FEC"/>
    <w:rsid w:val="01121891"/>
    <w:rsid w:val="01412FC7"/>
    <w:rsid w:val="01DB7335"/>
    <w:rsid w:val="021E77E3"/>
    <w:rsid w:val="027A5940"/>
    <w:rsid w:val="029A7B34"/>
    <w:rsid w:val="02BD7D85"/>
    <w:rsid w:val="02CD73A2"/>
    <w:rsid w:val="02FE3DC3"/>
    <w:rsid w:val="03116B61"/>
    <w:rsid w:val="03662EE9"/>
    <w:rsid w:val="036E48FB"/>
    <w:rsid w:val="03946451"/>
    <w:rsid w:val="04090391"/>
    <w:rsid w:val="04332110"/>
    <w:rsid w:val="04A04C78"/>
    <w:rsid w:val="053974B3"/>
    <w:rsid w:val="061068F3"/>
    <w:rsid w:val="066E4759"/>
    <w:rsid w:val="067F684F"/>
    <w:rsid w:val="06ED4300"/>
    <w:rsid w:val="074331C3"/>
    <w:rsid w:val="076B02DA"/>
    <w:rsid w:val="07EA6C8D"/>
    <w:rsid w:val="08663767"/>
    <w:rsid w:val="08681984"/>
    <w:rsid w:val="087F0514"/>
    <w:rsid w:val="089A3D4F"/>
    <w:rsid w:val="08A35FF1"/>
    <w:rsid w:val="08BA10F5"/>
    <w:rsid w:val="08BE022C"/>
    <w:rsid w:val="0AEC7E43"/>
    <w:rsid w:val="0B2D2400"/>
    <w:rsid w:val="0B5D2A00"/>
    <w:rsid w:val="0C5B1578"/>
    <w:rsid w:val="0E331A39"/>
    <w:rsid w:val="0EAB40F5"/>
    <w:rsid w:val="0EB91DD5"/>
    <w:rsid w:val="0EDB5275"/>
    <w:rsid w:val="0F0C5506"/>
    <w:rsid w:val="0F194831"/>
    <w:rsid w:val="0F350241"/>
    <w:rsid w:val="0F45452E"/>
    <w:rsid w:val="0FC10216"/>
    <w:rsid w:val="10354733"/>
    <w:rsid w:val="10845994"/>
    <w:rsid w:val="1109505B"/>
    <w:rsid w:val="11246E7E"/>
    <w:rsid w:val="113049AB"/>
    <w:rsid w:val="119F34BD"/>
    <w:rsid w:val="120E4F89"/>
    <w:rsid w:val="12947AB2"/>
    <w:rsid w:val="12B00BB4"/>
    <w:rsid w:val="13F07D65"/>
    <w:rsid w:val="14106954"/>
    <w:rsid w:val="14822765"/>
    <w:rsid w:val="14FF1A5E"/>
    <w:rsid w:val="15067CE3"/>
    <w:rsid w:val="157B3B74"/>
    <w:rsid w:val="16194074"/>
    <w:rsid w:val="16452D0B"/>
    <w:rsid w:val="16530BCE"/>
    <w:rsid w:val="1699418F"/>
    <w:rsid w:val="175C7EF3"/>
    <w:rsid w:val="178D1723"/>
    <w:rsid w:val="179F7C41"/>
    <w:rsid w:val="18093602"/>
    <w:rsid w:val="185D0DAC"/>
    <w:rsid w:val="193078F7"/>
    <w:rsid w:val="19651535"/>
    <w:rsid w:val="199C5D44"/>
    <w:rsid w:val="19BA58E9"/>
    <w:rsid w:val="19D06CE5"/>
    <w:rsid w:val="19D51E08"/>
    <w:rsid w:val="19F17A53"/>
    <w:rsid w:val="19F5449D"/>
    <w:rsid w:val="1A306BBF"/>
    <w:rsid w:val="1C2C33AF"/>
    <w:rsid w:val="1CF75B24"/>
    <w:rsid w:val="1CFB6D8F"/>
    <w:rsid w:val="1D4C3BF9"/>
    <w:rsid w:val="1DC04383"/>
    <w:rsid w:val="1DFC5EC2"/>
    <w:rsid w:val="1E2843DB"/>
    <w:rsid w:val="1E642BE6"/>
    <w:rsid w:val="1EE239F7"/>
    <w:rsid w:val="1F1D187F"/>
    <w:rsid w:val="1FA15E62"/>
    <w:rsid w:val="2000435B"/>
    <w:rsid w:val="204A0522"/>
    <w:rsid w:val="20766F56"/>
    <w:rsid w:val="20790B8D"/>
    <w:rsid w:val="215321DB"/>
    <w:rsid w:val="233774AF"/>
    <w:rsid w:val="23956A04"/>
    <w:rsid w:val="23E76C0D"/>
    <w:rsid w:val="24A40FF4"/>
    <w:rsid w:val="24BD2AF5"/>
    <w:rsid w:val="25183326"/>
    <w:rsid w:val="252A68FA"/>
    <w:rsid w:val="255C249D"/>
    <w:rsid w:val="25D3FDF3"/>
    <w:rsid w:val="25E2239D"/>
    <w:rsid w:val="25E53FA6"/>
    <w:rsid w:val="25FD775E"/>
    <w:rsid w:val="26062636"/>
    <w:rsid w:val="269D26FC"/>
    <w:rsid w:val="26A764A6"/>
    <w:rsid w:val="26DD2B60"/>
    <w:rsid w:val="26FE0CC1"/>
    <w:rsid w:val="271C167D"/>
    <w:rsid w:val="27A934CD"/>
    <w:rsid w:val="27AC49D7"/>
    <w:rsid w:val="284C59A2"/>
    <w:rsid w:val="290103C5"/>
    <w:rsid w:val="29762D16"/>
    <w:rsid w:val="29CA0781"/>
    <w:rsid w:val="29E11C7D"/>
    <w:rsid w:val="2A01223E"/>
    <w:rsid w:val="2A0F46C9"/>
    <w:rsid w:val="2A87358B"/>
    <w:rsid w:val="2AE32B78"/>
    <w:rsid w:val="2AFC6824"/>
    <w:rsid w:val="2B607068"/>
    <w:rsid w:val="2B821443"/>
    <w:rsid w:val="2B840C20"/>
    <w:rsid w:val="2C125D9F"/>
    <w:rsid w:val="2C280AFD"/>
    <w:rsid w:val="2C684A10"/>
    <w:rsid w:val="2CC34A70"/>
    <w:rsid w:val="2CCD3F5D"/>
    <w:rsid w:val="2D117FEA"/>
    <w:rsid w:val="2D4E4DBC"/>
    <w:rsid w:val="2DE10115"/>
    <w:rsid w:val="2E581AD7"/>
    <w:rsid w:val="2E806786"/>
    <w:rsid w:val="2F1C7F82"/>
    <w:rsid w:val="30232FBA"/>
    <w:rsid w:val="308D752C"/>
    <w:rsid w:val="30A85424"/>
    <w:rsid w:val="317E313E"/>
    <w:rsid w:val="31B26D46"/>
    <w:rsid w:val="31BA754C"/>
    <w:rsid w:val="31E73D49"/>
    <w:rsid w:val="32707EA0"/>
    <w:rsid w:val="32B81794"/>
    <w:rsid w:val="33223ED4"/>
    <w:rsid w:val="333D0C3D"/>
    <w:rsid w:val="33865301"/>
    <w:rsid w:val="33904D9B"/>
    <w:rsid w:val="33B24BAF"/>
    <w:rsid w:val="33D13793"/>
    <w:rsid w:val="34CE5866"/>
    <w:rsid w:val="3512340A"/>
    <w:rsid w:val="3539338A"/>
    <w:rsid w:val="356C59BC"/>
    <w:rsid w:val="36083170"/>
    <w:rsid w:val="36107EE1"/>
    <w:rsid w:val="36231153"/>
    <w:rsid w:val="37072FFA"/>
    <w:rsid w:val="372C37CA"/>
    <w:rsid w:val="37593803"/>
    <w:rsid w:val="37713F69"/>
    <w:rsid w:val="377A4252"/>
    <w:rsid w:val="38C31A01"/>
    <w:rsid w:val="38D030A4"/>
    <w:rsid w:val="393458CB"/>
    <w:rsid w:val="39510ACF"/>
    <w:rsid w:val="39F2406C"/>
    <w:rsid w:val="3A110544"/>
    <w:rsid w:val="3AB34536"/>
    <w:rsid w:val="3B0F4EA6"/>
    <w:rsid w:val="3B1A11D4"/>
    <w:rsid w:val="3B5C3046"/>
    <w:rsid w:val="3BAD3B42"/>
    <w:rsid w:val="3BE20D07"/>
    <w:rsid w:val="3C2526B5"/>
    <w:rsid w:val="3C46706F"/>
    <w:rsid w:val="3CF9721F"/>
    <w:rsid w:val="3CFA0A00"/>
    <w:rsid w:val="3D582684"/>
    <w:rsid w:val="3E7026F8"/>
    <w:rsid w:val="3E7B421A"/>
    <w:rsid w:val="3E7E47D6"/>
    <w:rsid w:val="3EB23F3A"/>
    <w:rsid w:val="3FF903C7"/>
    <w:rsid w:val="40194FA4"/>
    <w:rsid w:val="40407AF5"/>
    <w:rsid w:val="40467298"/>
    <w:rsid w:val="40A646DF"/>
    <w:rsid w:val="40E3635C"/>
    <w:rsid w:val="41156373"/>
    <w:rsid w:val="41610899"/>
    <w:rsid w:val="417D34CA"/>
    <w:rsid w:val="43296CA2"/>
    <w:rsid w:val="432F2160"/>
    <w:rsid w:val="4349650B"/>
    <w:rsid w:val="437C70B4"/>
    <w:rsid w:val="437D090D"/>
    <w:rsid w:val="43C3771F"/>
    <w:rsid w:val="4423483B"/>
    <w:rsid w:val="44927FAA"/>
    <w:rsid w:val="44EE5B50"/>
    <w:rsid w:val="45460E2C"/>
    <w:rsid w:val="45C85B83"/>
    <w:rsid w:val="4616728A"/>
    <w:rsid w:val="464034BB"/>
    <w:rsid w:val="46436A89"/>
    <w:rsid w:val="465217BF"/>
    <w:rsid w:val="46624D91"/>
    <w:rsid w:val="467210E9"/>
    <w:rsid w:val="46A40139"/>
    <w:rsid w:val="473B175D"/>
    <w:rsid w:val="474A6DC2"/>
    <w:rsid w:val="478B4F36"/>
    <w:rsid w:val="47B46207"/>
    <w:rsid w:val="480916E0"/>
    <w:rsid w:val="484D2C0A"/>
    <w:rsid w:val="48875067"/>
    <w:rsid w:val="49600F6E"/>
    <w:rsid w:val="49960C0E"/>
    <w:rsid w:val="4A0C1759"/>
    <w:rsid w:val="4A4454B2"/>
    <w:rsid w:val="4A78234E"/>
    <w:rsid w:val="4AD818B9"/>
    <w:rsid w:val="4AFA770A"/>
    <w:rsid w:val="4B054041"/>
    <w:rsid w:val="4B255D5A"/>
    <w:rsid w:val="4B80525A"/>
    <w:rsid w:val="4B937EF6"/>
    <w:rsid w:val="4BAF7C2C"/>
    <w:rsid w:val="4BFE5398"/>
    <w:rsid w:val="4C202960"/>
    <w:rsid w:val="4C4A64A2"/>
    <w:rsid w:val="4D3F0F83"/>
    <w:rsid w:val="4D516D3B"/>
    <w:rsid w:val="4D8A409B"/>
    <w:rsid w:val="4DAC11F8"/>
    <w:rsid w:val="4DAD70F9"/>
    <w:rsid w:val="4E2D5B04"/>
    <w:rsid w:val="4F457374"/>
    <w:rsid w:val="50732A04"/>
    <w:rsid w:val="50820E12"/>
    <w:rsid w:val="50937D24"/>
    <w:rsid w:val="51AB4B67"/>
    <w:rsid w:val="5204764B"/>
    <w:rsid w:val="520F27CA"/>
    <w:rsid w:val="523F1387"/>
    <w:rsid w:val="5267258E"/>
    <w:rsid w:val="52A047C3"/>
    <w:rsid w:val="53AE5CB2"/>
    <w:rsid w:val="53EFD315"/>
    <w:rsid w:val="53F6497D"/>
    <w:rsid w:val="540C53A0"/>
    <w:rsid w:val="549F41F2"/>
    <w:rsid w:val="5585601C"/>
    <w:rsid w:val="55CC58B3"/>
    <w:rsid w:val="569A6786"/>
    <w:rsid w:val="56DB2DC1"/>
    <w:rsid w:val="583817D0"/>
    <w:rsid w:val="5875050D"/>
    <w:rsid w:val="58AC310F"/>
    <w:rsid w:val="590748E7"/>
    <w:rsid w:val="59290A80"/>
    <w:rsid w:val="593F717D"/>
    <w:rsid w:val="59AA4265"/>
    <w:rsid w:val="5A3D56B7"/>
    <w:rsid w:val="5B403B3D"/>
    <w:rsid w:val="5BA2764B"/>
    <w:rsid w:val="5BE735CB"/>
    <w:rsid w:val="5C3F26AF"/>
    <w:rsid w:val="5C824647"/>
    <w:rsid w:val="5CC234B4"/>
    <w:rsid w:val="5D932E5D"/>
    <w:rsid w:val="5D9A3487"/>
    <w:rsid w:val="5E2426B3"/>
    <w:rsid w:val="5E6650FD"/>
    <w:rsid w:val="5E6D7C66"/>
    <w:rsid w:val="5E773CA0"/>
    <w:rsid w:val="5EC61CC1"/>
    <w:rsid w:val="5ED33264"/>
    <w:rsid w:val="5EF25870"/>
    <w:rsid w:val="5FB535FC"/>
    <w:rsid w:val="5FF6265A"/>
    <w:rsid w:val="61434438"/>
    <w:rsid w:val="615103BF"/>
    <w:rsid w:val="619472FF"/>
    <w:rsid w:val="61DC2295"/>
    <w:rsid w:val="6234291E"/>
    <w:rsid w:val="62791311"/>
    <w:rsid w:val="62EC489F"/>
    <w:rsid w:val="63BA0AFC"/>
    <w:rsid w:val="648221E9"/>
    <w:rsid w:val="64B86BE8"/>
    <w:rsid w:val="64B92431"/>
    <w:rsid w:val="64BF6B61"/>
    <w:rsid w:val="64F63B27"/>
    <w:rsid w:val="65195CD5"/>
    <w:rsid w:val="6555476B"/>
    <w:rsid w:val="65DE74EC"/>
    <w:rsid w:val="65EA7846"/>
    <w:rsid w:val="665A0543"/>
    <w:rsid w:val="671B779A"/>
    <w:rsid w:val="671D183F"/>
    <w:rsid w:val="672C6BD4"/>
    <w:rsid w:val="67B4148F"/>
    <w:rsid w:val="67D11C95"/>
    <w:rsid w:val="67EA3876"/>
    <w:rsid w:val="682A6190"/>
    <w:rsid w:val="68454A76"/>
    <w:rsid w:val="686314D3"/>
    <w:rsid w:val="69CB3351"/>
    <w:rsid w:val="6A2A0C5B"/>
    <w:rsid w:val="6A773B0A"/>
    <w:rsid w:val="6A9915C4"/>
    <w:rsid w:val="6B470478"/>
    <w:rsid w:val="6B821228"/>
    <w:rsid w:val="6BA85E23"/>
    <w:rsid w:val="6C373F71"/>
    <w:rsid w:val="6CE47553"/>
    <w:rsid w:val="6D03446E"/>
    <w:rsid w:val="6D067161"/>
    <w:rsid w:val="6D09377D"/>
    <w:rsid w:val="6DD134A9"/>
    <w:rsid w:val="6DF10CBA"/>
    <w:rsid w:val="6E5565C2"/>
    <w:rsid w:val="6FA564E6"/>
    <w:rsid w:val="6FB10510"/>
    <w:rsid w:val="6FC811FF"/>
    <w:rsid w:val="6FDE7DEE"/>
    <w:rsid w:val="705B2AAB"/>
    <w:rsid w:val="712803D6"/>
    <w:rsid w:val="72E90F3E"/>
    <w:rsid w:val="72F44451"/>
    <w:rsid w:val="735C74F0"/>
    <w:rsid w:val="74185D8F"/>
    <w:rsid w:val="74924CB2"/>
    <w:rsid w:val="74E76FE8"/>
    <w:rsid w:val="759F78C3"/>
    <w:rsid w:val="76DB3E67"/>
    <w:rsid w:val="76F10BC7"/>
    <w:rsid w:val="77386DF7"/>
    <w:rsid w:val="776435E2"/>
    <w:rsid w:val="77F927A7"/>
    <w:rsid w:val="781157AB"/>
    <w:rsid w:val="7835260B"/>
    <w:rsid w:val="786770EA"/>
    <w:rsid w:val="78AB3E59"/>
    <w:rsid w:val="78B81BCB"/>
    <w:rsid w:val="78D57FB8"/>
    <w:rsid w:val="78E875CE"/>
    <w:rsid w:val="78EB47E9"/>
    <w:rsid w:val="792A69A5"/>
    <w:rsid w:val="795D4A96"/>
    <w:rsid w:val="7A8B7192"/>
    <w:rsid w:val="7AFA69B5"/>
    <w:rsid w:val="7B2A7C2F"/>
    <w:rsid w:val="7BAEC70C"/>
    <w:rsid w:val="7BC2550E"/>
    <w:rsid w:val="7C1D4E40"/>
    <w:rsid w:val="7C2E5873"/>
    <w:rsid w:val="7C41457B"/>
    <w:rsid w:val="7C5A21C6"/>
    <w:rsid w:val="7C753176"/>
    <w:rsid w:val="7CB040F9"/>
    <w:rsid w:val="7D59438F"/>
    <w:rsid w:val="7D5C483B"/>
    <w:rsid w:val="7D701300"/>
    <w:rsid w:val="7D7B5578"/>
    <w:rsid w:val="7DA656C0"/>
    <w:rsid w:val="7DCB53EE"/>
    <w:rsid w:val="7DE67CCF"/>
    <w:rsid w:val="7F5C3F2F"/>
    <w:rsid w:val="7FAA2938"/>
    <w:rsid w:val="7FC068AE"/>
    <w:rsid w:val="AEFFD73F"/>
    <w:rsid w:val="B6DEB2B3"/>
    <w:rsid w:val="CFFC8600"/>
    <w:rsid w:val="DFBB4530"/>
    <w:rsid w:val="DFD7E69D"/>
    <w:rsid w:val="EAEF73C6"/>
    <w:rsid w:val="ECFB9187"/>
    <w:rsid w:val="ED790911"/>
    <w:rsid w:val="F5D74E6C"/>
    <w:rsid w:val="FDF4E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2075</Words>
  <Characters>2080</Characters>
  <Lines>0</Lines>
  <Paragraphs>0</Paragraphs>
  <TotalTime>65</TotalTime>
  <ScaleCrop>false</ScaleCrop>
  <LinksUpToDate>false</LinksUpToDate>
  <CharactersWithSpaces>2097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2018-01-18T11:07:00Z</dcterms:created>
  <dc:creator>pc</dc:creator>
  <cp:lastModifiedBy>Administrator</cp:lastModifiedBy>
  <cp:lastPrinted>2024-01-24T20:29:00Z</cp:lastPrinted>
  <dcterms:modified xsi:type="dcterms:W3CDTF">2024-02-01T02:31:21Z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F1FEE235C6E14939998DBF3B298B4601_13</vt:lpwstr>
  </property>
</Properties>
</file>