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楷体" w:hAnsi="楷体" w:eastAsia="楷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bCs/>
          <w:sz w:val="32"/>
          <w:szCs w:val="32"/>
        </w:rPr>
        <w:t>附件</w:t>
      </w:r>
    </w:p>
    <w:p>
      <w:pPr>
        <w:pStyle w:val="2"/>
        <w:jc w:val="center"/>
        <w:rPr>
          <w:rFonts w:hint="eastAsia" w:ascii="楷体" w:hAnsi="楷体" w:eastAsia="楷体" w:cs="方正小标宋简体"/>
          <w:b/>
          <w:bCs/>
          <w:sz w:val="36"/>
          <w:szCs w:val="36"/>
        </w:rPr>
      </w:pPr>
      <w:r>
        <w:rPr>
          <w:rFonts w:hint="eastAsia" w:ascii="楷体" w:hAnsi="楷体" w:eastAsia="楷体" w:cs="方正小标宋简体"/>
          <w:b/>
          <w:bCs/>
          <w:sz w:val="36"/>
          <w:szCs w:val="36"/>
        </w:rPr>
        <w:t>台州市第一人民医院202</w:t>
      </w:r>
      <w:r>
        <w:rPr>
          <w:rFonts w:hint="eastAsia" w:ascii="楷体" w:hAnsi="楷体" w:eastAsia="楷体" w:cs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方正小标宋简体"/>
          <w:b/>
          <w:bCs/>
          <w:sz w:val="36"/>
          <w:szCs w:val="36"/>
        </w:rPr>
        <w:t>年公开招聘高层次卫技人员计划表</w:t>
      </w:r>
    </w:p>
    <w:p>
      <w:pPr>
        <w:spacing w:line="240" w:lineRule="exact"/>
        <w:ind w:left="-540" w:leftChars="-257" w:firstLine="480" w:firstLineChars="200"/>
        <w:rPr>
          <w:rFonts w:hint="eastAsia" w:ascii="仿宋" w:hAnsi="仿宋" w:eastAsia="仿宋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05"/>
        <w:gridCol w:w="1185"/>
        <w:gridCol w:w="855"/>
        <w:gridCol w:w="1875"/>
        <w:gridCol w:w="1635"/>
        <w:gridCol w:w="3002"/>
        <w:gridCol w:w="900"/>
        <w:gridCol w:w="114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6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序号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招考计划</w:t>
            </w:r>
          </w:p>
        </w:tc>
        <w:tc>
          <w:tcPr>
            <w:tcW w:w="6512" w:type="dxa"/>
            <w:gridSpan w:val="3"/>
            <w:noWrap w:val="0"/>
            <w:vAlign w:val="center"/>
          </w:tcPr>
          <w:p>
            <w:pPr>
              <w:tabs>
                <w:tab w:val="left" w:pos="3149"/>
              </w:tabs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所需资格条件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面试分数比例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职位名称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岗位类别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人数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学历/学位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学历专业</w:t>
            </w:r>
          </w:p>
        </w:tc>
        <w:tc>
          <w:tcPr>
            <w:tcW w:w="30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其他资格条件</w:t>
            </w: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</w:p>
        </w:tc>
        <w:tc>
          <w:tcPr>
            <w:tcW w:w="11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</w:tc>
        <w:tc>
          <w:tcPr>
            <w:tcW w:w="9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学科带头人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博士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研究生/博士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年龄45周岁及以下。具有正高职称的紧缺、急需等特殊人才年龄可放宽至50周岁，学历可放宽至本科，具有省级综合性医院工作经验的高层次人才优先考虑。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医学博士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博士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研究生/博士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年龄45周岁及以下。具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正高职称的紧缺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、急需等特殊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人才，年龄可放宽至50周岁。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紧缺、急需专业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高级职称人员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（病理诊断）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大学本科及以上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临床医学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  <w:t>、病理学与病理生理学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年龄45周岁及以下，具有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病理诊断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副高及以上职称。具有正高职称的，年龄可放宽至50周岁。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医学硕士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  <w:t>硕士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研究生/硕士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年龄35周岁及以下。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</w:tbl>
    <w:p>
      <w:pPr>
        <w:rPr>
          <w:rFonts w:ascii="仿宋" w:hAnsi="仿宋" w:eastAsia="仿宋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9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6EB63FC2"/>
    <w:rsid w:val="3E912D31"/>
    <w:rsid w:val="6EB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2024-02-29T08:41:00Z</dcterms:created>
  <dc:creator>应敏霞</dc:creator>
  <cp:lastModifiedBy>应敏霞</cp:lastModifiedBy>
  <dcterms:modified xsi:type="dcterms:W3CDTF">2024-02-29T08:41:38Z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9770394AC1CD4141B2004DDDE7439E25_11</vt:lpwstr>
  </property>
</Properties>
</file>