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540" w:type="dxa"/>
        <w:jc w:val="center"/>
        <w:tblInd w:w="0" w:type="dxa"/>
        <w:tblLayout w:type="fixed"/>
        <w:tblCellMar>
          <w:top w:w="0" w:type="dxa"/>
          <w:left w:w="0" w:type="dxa"/>
          <w:bottom w:w="0" w:type="dxa"/>
          <w:right w:w="0" w:type="dxa"/>
        </w:tblCellMar>
      </w:tblPr>
      <w:tblGrid>
        <w:gridCol w:w="520"/>
        <w:gridCol w:w="1462"/>
        <w:gridCol w:w="841"/>
        <w:gridCol w:w="641"/>
        <w:gridCol w:w="1674"/>
        <w:gridCol w:w="1462"/>
        <w:gridCol w:w="3166"/>
        <w:gridCol w:w="993"/>
        <w:gridCol w:w="1634"/>
        <w:gridCol w:w="1147"/>
      </w:tblGrid>
      <w:tr>
        <w:tblPrEx>
          <w:tblLayout w:type="fixed"/>
          <w:tblCellMar>
            <w:top w:w="0" w:type="dxa"/>
            <w:left w:w="0" w:type="dxa"/>
            <w:bottom w:w="0" w:type="dxa"/>
            <w:right w:w="0" w:type="dxa"/>
          </w:tblCellMar>
        </w:tblPrEx>
        <w:trPr>
          <w:trHeight w:val="90" w:hRule="atLeast"/>
          <w:jc w:val="center"/>
        </w:trPr>
        <w:tc>
          <w:tcPr>
            <w:tcW w:w="13540" w:type="dxa"/>
            <w:gridSpan w:val="10"/>
            <w:tcBorders>
              <w:top w:val="nil"/>
              <w:left w:val="nil"/>
              <w:bottom w:val="nil"/>
              <w:right w:val="nil"/>
            </w:tcBorders>
            <w:noWrap/>
            <w:tcMar>
              <w:top w:w="15" w:type="dxa"/>
              <w:left w:w="15" w:type="dxa"/>
              <w:bottom w:w="0" w:type="dxa"/>
              <w:right w:w="15" w:type="dxa"/>
            </w:tcMar>
            <w:vAlign w:val="center"/>
          </w:tcPr>
          <w:p>
            <w:pPr>
              <w:widowControl/>
              <w:jc w:val="left"/>
              <w:textAlignment w:val="center"/>
              <w:rPr>
                <w:rFonts w:ascii="宋体" w:hAnsi="宋体" w:eastAsia="宋体" w:cs="Times New Roman"/>
                <w:color w:val="auto"/>
                <w:sz w:val="22"/>
                <w:highlight w:val="none"/>
              </w:rPr>
            </w:pPr>
            <w:r>
              <w:rPr>
                <w:rFonts w:hint="eastAsia" w:ascii="仿宋" w:hAnsi="仿宋" w:eastAsia="仿宋" w:cs="仿宋"/>
                <w:b/>
                <w:bCs/>
                <w:color w:val="auto"/>
                <w:kern w:val="0"/>
                <w:sz w:val="28"/>
                <w:szCs w:val="28"/>
                <w:highlight w:val="none"/>
              </w:rPr>
              <w:t>附件1</w:t>
            </w:r>
          </w:p>
        </w:tc>
      </w:tr>
      <w:tr>
        <w:tblPrEx>
          <w:tblLayout w:type="fixed"/>
          <w:tblCellMar>
            <w:top w:w="0" w:type="dxa"/>
            <w:left w:w="0" w:type="dxa"/>
            <w:bottom w:w="0" w:type="dxa"/>
            <w:right w:w="0" w:type="dxa"/>
          </w:tblCellMar>
        </w:tblPrEx>
        <w:trPr>
          <w:trHeight w:val="90" w:hRule="atLeast"/>
          <w:jc w:val="center"/>
        </w:trPr>
        <w:tc>
          <w:tcPr>
            <w:tcW w:w="13540" w:type="dxa"/>
            <w:gridSpan w:val="10"/>
            <w:tcBorders>
              <w:top w:val="nil"/>
              <w:left w:val="nil"/>
              <w:bottom w:val="nil"/>
              <w:right w:val="nil"/>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台州市妇女儿童医院（温州医科大学附属台州妇女儿童医院）</w:t>
            </w:r>
          </w:p>
          <w:p>
            <w:pPr>
              <w:widowControl/>
              <w:jc w:val="center"/>
              <w:textAlignment w:val="center"/>
              <w:rPr>
                <w:rFonts w:hint="eastAsia" w:ascii="Arial Unicode MS" w:hAnsi="Arial Unicode MS" w:eastAsia="宋体" w:cs="Times New Roman"/>
                <w:color w:val="auto"/>
                <w:sz w:val="32"/>
                <w:szCs w:val="32"/>
                <w:highlight w:val="none"/>
              </w:rPr>
            </w:pPr>
            <w:r>
              <w:rPr>
                <w:rFonts w:hint="eastAsia" w:ascii="仿宋" w:hAnsi="仿宋" w:eastAsia="仿宋" w:cs="仿宋"/>
                <w:b/>
                <w:bCs/>
                <w:color w:val="auto"/>
                <w:kern w:val="0"/>
                <w:sz w:val="32"/>
                <w:szCs w:val="32"/>
                <w:highlight w:val="none"/>
                <w:lang w:eastAsia="zh-CN"/>
              </w:rPr>
              <w:t>2024</w:t>
            </w:r>
            <w:r>
              <w:rPr>
                <w:rFonts w:hint="eastAsia" w:ascii="仿宋" w:hAnsi="仿宋" w:eastAsia="仿宋" w:cs="仿宋"/>
                <w:b/>
                <w:bCs/>
                <w:color w:val="auto"/>
                <w:kern w:val="0"/>
                <w:sz w:val="32"/>
                <w:szCs w:val="32"/>
                <w:highlight w:val="none"/>
              </w:rPr>
              <w:t>年公开招聘高层次卫技人员计划表</w:t>
            </w:r>
          </w:p>
        </w:tc>
      </w:tr>
      <w:tr>
        <w:tblPrEx>
          <w:tblLayout w:type="fixed"/>
          <w:tblCellMar>
            <w:top w:w="0" w:type="dxa"/>
            <w:left w:w="0" w:type="dxa"/>
            <w:bottom w:w="0" w:type="dxa"/>
            <w:right w:w="0" w:type="dxa"/>
          </w:tblCellMar>
        </w:tblPrEx>
        <w:trPr>
          <w:trHeight w:val="90" w:hRule="atLeast"/>
          <w:jc w:val="center"/>
        </w:trPr>
        <w:tc>
          <w:tcPr>
            <w:tcW w:w="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序号</w:t>
            </w:r>
          </w:p>
        </w:tc>
        <w:tc>
          <w:tcPr>
            <w:tcW w:w="2944"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eastAsia="zh-CN"/>
              </w:rPr>
              <w:t>2024</w:t>
            </w:r>
            <w:r>
              <w:rPr>
                <w:rFonts w:hint="eastAsia" w:ascii="仿宋" w:hAnsi="仿宋" w:eastAsia="仿宋" w:cs="仿宋"/>
                <w:b/>
                <w:bCs/>
                <w:color w:val="auto"/>
                <w:kern w:val="0"/>
                <w:sz w:val="18"/>
                <w:szCs w:val="18"/>
                <w:highlight w:val="none"/>
              </w:rPr>
              <w:t>年招聘计划</w:t>
            </w:r>
          </w:p>
        </w:tc>
        <w:tc>
          <w:tcPr>
            <w:tcW w:w="6302" w:type="dxa"/>
            <w:gridSpan w:val="3"/>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所需资格条件</w:t>
            </w:r>
          </w:p>
        </w:tc>
        <w:tc>
          <w:tcPr>
            <w:tcW w:w="993"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面试分数</w:t>
            </w:r>
          </w:p>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比例</w:t>
            </w:r>
          </w:p>
        </w:tc>
        <w:tc>
          <w:tcPr>
            <w:tcW w:w="1634"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联系电话</w:t>
            </w:r>
          </w:p>
        </w:tc>
        <w:tc>
          <w:tcPr>
            <w:tcW w:w="1147"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备注</w:t>
            </w:r>
          </w:p>
        </w:tc>
      </w:tr>
      <w:tr>
        <w:tblPrEx>
          <w:tblLayout w:type="fixed"/>
          <w:tblCellMar>
            <w:top w:w="0" w:type="dxa"/>
            <w:left w:w="0" w:type="dxa"/>
            <w:bottom w:w="0" w:type="dxa"/>
            <w:right w:w="0" w:type="dxa"/>
          </w:tblCellMar>
        </w:tblPrEx>
        <w:trPr>
          <w:trHeight w:val="90" w:hRule="atLeast"/>
          <w:jc w:val="center"/>
        </w:trPr>
        <w:tc>
          <w:tcPr>
            <w:tcW w:w="5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职位名称</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岗位类别</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人数</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学历/学位</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学历专业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rPr>
              <w:t>其他资格条件</w:t>
            </w:r>
          </w:p>
        </w:tc>
        <w:tc>
          <w:tcPr>
            <w:tcW w:w="99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c>
          <w:tcPr>
            <w:tcW w:w="163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c>
          <w:tcPr>
            <w:tcW w:w="114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18"/>
                <w:szCs w:val="18"/>
                <w:highlight w:val="none"/>
              </w:rPr>
            </w:pPr>
          </w:p>
        </w:tc>
      </w:tr>
      <w:tr>
        <w:tblPrEx>
          <w:tblLayout w:type="fixed"/>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学科带头人</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kern w:val="0"/>
                <w:sz w:val="18"/>
                <w:szCs w:val="18"/>
                <w:highlight w:val="none"/>
                <w:lang w:val="en-US" w:eastAsia="zh-CN"/>
              </w:rPr>
              <w:t>7</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硕士研究生</w:t>
            </w:r>
            <w:r>
              <w:rPr>
                <w:rFonts w:hint="eastAsia" w:ascii="仿宋" w:hAnsi="仿宋" w:eastAsia="仿宋" w:cs="仿宋"/>
                <w:color w:val="auto"/>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shd w:val="clear" w:fill="auto"/>
                <w:lang w:eastAsia="zh-CN"/>
              </w:rPr>
              <w:t>年龄45周岁及以下（紧缺</w:t>
            </w:r>
            <w:r>
              <w:rPr>
                <w:rFonts w:hint="eastAsia" w:ascii="仿宋" w:hAnsi="仿宋" w:eastAsia="仿宋" w:cs="仿宋"/>
                <w:color w:val="auto"/>
                <w:kern w:val="0"/>
                <w:sz w:val="18"/>
                <w:szCs w:val="18"/>
                <w:highlight w:val="none"/>
                <w:shd w:val="clear" w:fill="auto"/>
                <w:lang w:val="en-US" w:eastAsia="zh-CN"/>
              </w:rPr>
              <w:t>、急需等</w:t>
            </w:r>
            <w:r>
              <w:rPr>
                <w:rFonts w:hint="eastAsia" w:ascii="仿宋" w:hAnsi="仿宋" w:eastAsia="仿宋" w:cs="仿宋"/>
                <w:color w:val="auto"/>
                <w:kern w:val="0"/>
                <w:sz w:val="18"/>
                <w:szCs w:val="18"/>
                <w:highlight w:val="none"/>
                <w:shd w:val="clear" w:fill="auto"/>
                <w:lang w:eastAsia="zh-CN"/>
              </w:rPr>
              <w:t>特殊人才，年龄可放宽至</w:t>
            </w:r>
            <w:r>
              <w:rPr>
                <w:rFonts w:hint="eastAsia" w:ascii="仿宋" w:hAnsi="仿宋" w:eastAsia="仿宋" w:cs="仿宋"/>
                <w:color w:val="auto"/>
                <w:kern w:val="0"/>
                <w:sz w:val="18"/>
                <w:szCs w:val="18"/>
                <w:highlight w:val="none"/>
                <w:shd w:val="clear" w:fill="auto"/>
                <w:lang w:val="en-US" w:eastAsia="zh-CN"/>
              </w:rPr>
              <w:t>50周岁</w:t>
            </w:r>
            <w:r>
              <w:rPr>
                <w:rFonts w:hint="eastAsia" w:ascii="仿宋" w:hAnsi="仿宋" w:eastAsia="仿宋" w:cs="仿宋"/>
                <w:color w:val="auto"/>
                <w:kern w:val="0"/>
                <w:sz w:val="18"/>
                <w:szCs w:val="18"/>
                <w:highlight w:val="none"/>
                <w:shd w:val="clear" w:fill="auto"/>
                <w:lang w:eastAsia="zh-CN"/>
              </w:rPr>
              <w:t>），具备正高职称</w:t>
            </w:r>
            <w:r>
              <w:rPr>
                <w:rFonts w:hint="eastAsia" w:ascii="仿宋" w:hAnsi="仿宋" w:eastAsia="仿宋" w:cs="仿宋"/>
                <w:color w:val="auto"/>
                <w:kern w:val="0"/>
                <w:sz w:val="18"/>
                <w:szCs w:val="18"/>
                <w:highlight w:val="none"/>
                <w:shd w:val="clear" w:fill="auto"/>
                <w:lang w:val="en-US" w:eastAsia="zh-CN"/>
              </w:rPr>
              <w:t>。</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Layout w:type="fixed"/>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2</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高级职称卫技人员</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9</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kern w:val="0"/>
                <w:sz w:val="18"/>
                <w:szCs w:val="18"/>
                <w:highlight w:val="none"/>
                <w:lang w:eastAsia="zh-CN"/>
              </w:rPr>
              <w:t>大学本科及以上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lang w:val="en-US"/>
              </w:rPr>
            </w:pPr>
            <w:r>
              <w:rPr>
                <w:rFonts w:hint="eastAsia" w:ascii="仿宋" w:hAnsi="仿宋" w:eastAsia="仿宋" w:cs="仿宋"/>
                <w:color w:val="auto"/>
                <w:kern w:val="0"/>
                <w:sz w:val="18"/>
                <w:szCs w:val="18"/>
                <w:highlight w:val="none"/>
                <w:shd w:val="clear"/>
                <w:lang w:eastAsia="zh-CN"/>
              </w:rPr>
              <w:t>年龄45周岁及以下，具备副高及以上职称</w:t>
            </w:r>
            <w:r>
              <w:rPr>
                <w:rFonts w:hint="eastAsia" w:ascii="仿宋" w:hAnsi="仿宋" w:eastAsia="仿宋" w:cs="仿宋"/>
                <w:color w:val="auto"/>
                <w:kern w:val="0"/>
                <w:sz w:val="18"/>
                <w:szCs w:val="18"/>
                <w:highlight w:val="none"/>
                <w:shd w:val="clear"/>
                <w:lang w:val="en-US" w:eastAsia="zh-CN"/>
              </w:rPr>
              <w:t>。具备正高职称的紧缺、急需等特殊人才，年龄可放宽至50周岁。</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Layout w:type="fixed"/>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医学硕、</w:t>
            </w:r>
            <w:r>
              <w:rPr>
                <w:rFonts w:hint="eastAsia" w:ascii="仿宋" w:hAnsi="仿宋" w:eastAsia="仿宋" w:cs="仿宋"/>
                <w:color w:val="auto"/>
                <w:kern w:val="0"/>
                <w:sz w:val="18"/>
                <w:szCs w:val="18"/>
                <w:highlight w:val="none"/>
                <w:lang w:val="en-US" w:eastAsia="zh-CN"/>
              </w:rPr>
              <w:t>博</w:t>
            </w:r>
            <w:r>
              <w:rPr>
                <w:rFonts w:hint="eastAsia" w:ascii="仿宋" w:hAnsi="仿宋" w:eastAsia="仿宋" w:cs="仿宋"/>
                <w:color w:val="auto"/>
                <w:kern w:val="0"/>
                <w:sz w:val="18"/>
                <w:szCs w:val="18"/>
                <w:highlight w:val="none"/>
                <w:lang w:eastAsia="zh-CN"/>
              </w:rPr>
              <w:t>士（一）</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28</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r>
              <w:rPr>
                <w:rFonts w:hint="eastAsia" w:ascii="仿宋" w:hAnsi="仿宋" w:eastAsia="仿宋" w:cs="仿宋"/>
                <w:color w:val="auto"/>
                <w:kern w:val="0"/>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取得医师执业证书</w:t>
            </w:r>
            <w:r>
              <w:rPr>
                <w:rFonts w:hint="eastAsia" w:ascii="仿宋" w:hAnsi="仿宋" w:eastAsia="仿宋" w:cs="仿宋"/>
                <w:color w:val="auto"/>
                <w:kern w:val="0"/>
                <w:sz w:val="18"/>
                <w:szCs w:val="18"/>
                <w:highlight w:val="none"/>
                <w:lang w:eastAsia="zh-CN"/>
              </w:rPr>
              <w:t>，报到时需提供报考岗位相对应的住院医师规范化培训结业考核合格证明。</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Layout w:type="fixed"/>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rPr>
              <w:t>4</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eastAsia="zh-CN"/>
              </w:rPr>
              <w:t>医学硕、</w:t>
            </w:r>
            <w:r>
              <w:rPr>
                <w:rFonts w:hint="eastAsia" w:ascii="仿宋" w:hAnsi="仿宋" w:eastAsia="仿宋" w:cs="仿宋"/>
                <w:color w:val="auto"/>
                <w:kern w:val="0"/>
                <w:sz w:val="18"/>
                <w:szCs w:val="18"/>
                <w:highlight w:val="none"/>
                <w:lang w:val="en-US" w:eastAsia="zh-CN"/>
              </w:rPr>
              <w:t>博</w:t>
            </w:r>
            <w:r>
              <w:rPr>
                <w:rFonts w:hint="eastAsia" w:ascii="仿宋" w:hAnsi="仿宋" w:eastAsia="仿宋" w:cs="仿宋"/>
                <w:color w:val="auto"/>
                <w:kern w:val="0"/>
                <w:sz w:val="18"/>
                <w:szCs w:val="18"/>
                <w:highlight w:val="none"/>
                <w:lang w:eastAsia="zh-CN"/>
              </w:rPr>
              <w:t>士（二）</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sz w:val="18"/>
                <w:szCs w:val="18"/>
                <w:highlight w:val="none"/>
                <w:lang w:val="en-US" w:eastAsia="zh-CN"/>
              </w:rPr>
              <w:t>1</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r>
              <w:rPr>
                <w:rFonts w:hint="eastAsia" w:ascii="仿宋" w:hAnsi="仿宋" w:eastAsia="仿宋" w:cs="仿宋"/>
                <w:color w:val="auto"/>
                <w:kern w:val="0"/>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取得医师执业证书</w:t>
            </w:r>
            <w:r>
              <w:rPr>
                <w:rFonts w:hint="eastAsia" w:ascii="仿宋" w:hAnsi="仿宋" w:eastAsia="仿宋" w:cs="仿宋"/>
                <w:color w:val="auto"/>
                <w:kern w:val="0"/>
                <w:sz w:val="18"/>
                <w:szCs w:val="18"/>
                <w:highlight w:val="none"/>
                <w:lang w:eastAsia="zh-CN"/>
              </w:rPr>
              <w:t>。</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Layout w:type="fixed"/>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val="en-US" w:eastAsia="zh-CN"/>
              </w:rPr>
              <w:t>5</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医技硕、</w:t>
            </w:r>
            <w:r>
              <w:rPr>
                <w:rFonts w:hint="eastAsia" w:ascii="仿宋" w:hAnsi="仿宋" w:eastAsia="仿宋" w:cs="仿宋"/>
                <w:color w:val="auto"/>
                <w:kern w:val="0"/>
                <w:sz w:val="18"/>
                <w:szCs w:val="18"/>
                <w:highlight w:val="none"/>
                <w:lang w:val="en-US" w:eastAsia="zh-CN"/>
              </w:rPr>
              <w:t>博</w:t>
            </w:r>
            <w:r>
              <w:rPr>
                <w:rFonts w:hint="eastAsia" w:ascii="仿宋" w:hAnsi="仿宋" w:eastAsia="仿宋" w:cs="仿宋"/>
                <w:color w:val="auto"/>
                <w:kern w:val="0"/>
                <w:sz w:val="18"/>
                <w:szCs w:val="18"/>
                <w:highlight w:val="none"/>
                <w:lang w:eastAsia="zh-CN"/>
              </w:rPr>
              <w:t>士</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r>
              <w:rPr>
                <w:rFonts w:hint="eastAsia" w:ascii="仿宋" w:hAnsi="仿宋" w:eastAsia="仿宋" w:cs="仿宋"/>
                <w:color w:val="auto"/>
                <w:kern w:val="0"/>
                <w:sz w:val="18"/>
                <w:szCs w:val="18"/>
                <w:highlight w:val="none"/>
                <w:lang w:eastAsia="zh-CN"/>
              </w:rPr>
              <w:t>及以上</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各医学相关专业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取得报考岗位相对应的初级卫生专业技术资格。</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r>
        <w:tblPrEx>
          <w:tblLayout w:type="fixed"/>
          <w:tblCellMar>
            <w:top w:w="0" w:type="dxa"/>
            <w:left w:w="0" w:type="dxa"/>
            <w:bottom w:w="0" w:type="dxa"/>
            <w:right w:w="0" w:type="dxa"/>
          </w:tblCellMar>
        </w:tblPrEx>
        <w:trPr>
          <w:trHeight w:val="90"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6</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护理硕士</w:t>
            </w:r>
          </w:p>
        </w:tc>
        <w:tc>
          <w:tcPr>
            <w:tcW w:w="8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专技</w:t>
            </w:r>
          </w:p>
        </w:tc>
        <w:tc>
          <w:tcPr>
            <w:tcW w:w="641"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167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eastAsia="zh-CN"/>
              </w:rPr>
              <w:t>硕士</w:t>
            </w:r>
            <w:r>
              <w:rPr>
                <w:rFonts w:hint="eastAsia" w:ascii="仿宋" w:hAnsi="仿宋" w:eastAsia="仿宋" w:cs="仿宋"/>
                <w:color w:val="auto"/>
                <w:kern w:val="0"/>
                <w:sz w:val="18"/>
                <w:szCs w:val="18"/>
                <w:highlight w:val="none"/>
              </w:rPr>
              <w:t>研究生/硕士</w:t>
            </w:r>
          </w:p>
        </w:tc>
        <w:tc>
          <w:tcPr>
            <w:tcW w:w="146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护理相关专业</w:t>
            </w:r>
          </w:p>
        </w:tc>
        <w:tc>
          <w:tcPr>
            <w:tcW w:w="316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年龄35周岁及以下</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取得报考岗位相对应的初级卫生专业技术资格。</w:t>
            </w:r>
          </w:p>
        </w:tc>
        <w:tc>
          <w:tcPr>
            <w:tcW w:w="993"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100%</w:t>
            </w:r>
          </w:p>
        </w:tc>
        <w:tc>
          <w:tcPr>
            <w:tcW w:w="1634"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0576-88600798</w:t>
            </w:r>
          </w:p>
        </w:tc>
        <w:tc>
          <w:tcPr>
            <w:tcW w:w="114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rPr>
              <w:t>开考比例</w:t>
            </w:r>
            <w:r>
              <w:rPr>
                <w:rFonts w:hint="eastAsia" w:ascii="仿宋" w:hAnsi="仿宋" w:eastAsia="仿宋" w:cs="仿宋"/>
                <w:color w:val="auto"/>
                <w:kern w:val="0"/>
                <w:sz w:val="18"/>
                <w:szCs w:val="18"/>
                <w:highlight w:val="none"/>
              </w:rPr>
              <w:br w:type="textWrapping"/>
            </w:r>
            <w:r>
              <w:rPr>
                <w:rFonts w:hint="eastAsia" w:ascii="仿宋" w:hAnsi="仿宋" w:eastAsia="仿宋" w:cs="仿宋"/>
                <w:color w:val="auto"/>
                <w:kern w:val="0"/>
                <w:sz w:val="18"/>
                <w:szCs w:val="18"/>
                <w:highlight w:val="none"/>
              </w:rPr>
              <w:t>不受限制</w:t>
            </w:r>
          </w:p>
        </w:tc>
      </w:tr>
    </w:tbl>
    <w:p>
      <w:pPr>
        <w:spacing w:line="220" w:lineRule="atLeast"/>
      </w:pPr>
      <w:bookmarkStart w:id="0" w:name="_GoBack"/>
      <w:bookmarkEnd w:id="0"/>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18B02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2024-02-29T07:18:37Z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