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青岛市园林和林业局所属事业单位青岛市园林和林业综合服务中心</w:t>
      </w:r>
      <w:r>
        <w:rPr>
          <w:rFonts w:hint="eastAsia"/>
          <w:sz w:val="32"/>
          <w:szCs w:val="32"/>
        </w:rPr>
        <w:t>公开招聘工作人员岗位汇总表</w:t>
      </w:r>
    </w:p>
    <w:p>
      <w:pPr>
        <w:jc w:val="center"/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</w:p>
    <w:tbl>
      <w:tblPr>
        <w:tblStyle w:val="3"/>
        <w:tblW w:w="21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620"/>
        <w:gridCol w:w="1833"/>
        <w:gridCol w:w="1150"/>
        <w:gridCol w:w="717"/>
        <w:gridCol w:w="783"/>
        <w:gridCol w:w="683"/>
        <w:gridCol w:w="684"/>
        <w:gridCol w:w="700"/>
        <w:gridCol w:w="750"/>
        <w:gridCol w:w="683"/>
        <w:gridCol w:w="1300"/>
        <w:gridCol w:w="2215"/>
        <w:gridCol w:w="669"/>
        <w:gridCol w:w="889"/>
        <w:gridCol w:w="1569"/>
        <w:gridCol w:w="1604"/>
        <w:gridCol w:w="2492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 w:hRule="atLeast"/>
        </w:trPr>
        <w:tc>
          <w:tcPr>
            <w:tcW w:w="4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岗位类别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岗位等级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岗位名称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学历要求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学位要求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大专专业要求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本科专业要求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研究生专业要求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其他条件要求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开考比例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笔试和面试成绩比例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咨询电话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监督电话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信息公布网站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青岛市园林和林业综合服务中心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青岛市园林和林业局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中级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森林生态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生态学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要求第一学历为本科，林学相关专业。具体要求详见简章。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0532-67781092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0532-88013537</w:t>
            </w:r>
          </w:p>
        </w:tc>
        <w:tc>
          <w:tcPr>
            <w:tcW w:w="249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青岛市园林和林业局官网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http://ly.qingdao.gov.cn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青岛市园林和林业综合服务中心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青岛市园林和林业局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中级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野生动植物保护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博士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野生动植物保护</w:t>
            </w:r>
          </w:p>
        </w:tc>
        <w:tc>
          <w:tcPr>
            <w:tcW w:w="2215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要求第一学历为本科，野生动植物保护相关专业。具体要求详见简章。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0532-67781092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0532-88013537</w:t>
            </w:r>
          </w:p>
        </w:tc>
        <w:tc>
          <w:tcPr>
            <w:tcW w:w="249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青岛市园林和林业局官网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http://ly.qingdao.gov.cn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0"/>
        </w:numPr>
        <w:ind w:firstLine="1050" w:firstLineChars="500"/>
        <w:rPr>
          <w:rFonts w:hint="eastAsia" w:eastAsiaTheme="minorEastAsia"/>
          <w:lang w:eastAsia="zh-CN"/>
        </w:rPr>
      </w:pPr>
    </w:p>
    <w:sectPr>
      <w:pgSz w:w="23811" w:h="16838" w:orient="landscape"/>
      <w:pgMar w:top="117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c2MmVjZTNjNDY0ZjljZDgxMzlkNjU5NGQ2ZWIifQ=="/>
  </w:docVars>
  <w:rsids>
    <w:rsidRoot w:val="3D453BED"/>
    <w:rsid w:val="03CC091D"/>
    <w:rsid w:val="03FA1E99"/>
    <w:rsid w:val="072E6CF9"/>
    <w:rsid w:val="077527CF"/>
    <w:rsid w:val="0B01663D"/>
    <w:rsid w:val="0B5478B9"/>
    <w:rsid w:val="0EA10BE4"/>
    <w:rsid w:val="13E30DA5"/>
    <w:rsid w:val="13F05A62"/>
    <w:rsid w:val="14B07D5E"/>
    <w:rsid w:val="18D03CEC"/>
    <w:rsid w:val="1A1D21D6"/>
    <w:rsid w:val="20126337"/>
    <w:rsid w:val="27227EDD"/>
    <w:rsid w:val="304E7940"/>
    <w:rsid w:val="32476D3D"/>
    <w:rsid w:val="32F331BE"/>
    <w:rsid w:val="36783004"/>
    <w:rsid w:val="37197DF1"/>
    <w:rsid w:val="37E167BB"/>
    <w:rsid w:val="3BD515C1"/>
    <w:rsid w:val="3D453BED"/>
    <w:rsid w:val="3F1C6E5B"/>
    <w:rsid w:val="442F2C21"/>
    <w:rsid w:val="44826404"/>
    <w:rsid w:val="4636363D"/>
    <w:rsid w:val="46A05B8A"/>
    <w:rsid w:val="46AF0FD5"/>
    <w:rsid w:val="505F1452"/>
    <w:rsid w:val="54BE2A37"/>
    <w:rsid w:val="602048C6"/>
    <w:rsid w:val="64AC7BE3"/>
    <w:rsid w:val="6BC976B5"/>
    <w:rsid w:val="71E53B9D"/>
    <w:rsid w:val="72B04DB2"/>
    <w:rsid w:val="7D5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2023-12-28T01:27:00Z</dcterms:created>
  <dc:creator>晓仪</dc:creator>
  <cp:lastModifiedBy>薯条杀手</cp:lastModifiedBy>
  <cp:lastPrinted>2023-12-28T01:46:00Z</cp:lastPrinted>
  <dcterms:modified xsi:type="dcterms:W3CDTF">2024-03-08T05:00:59Z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17FC9E8183C4420BB226CC9D754B9880_11</vt:lpwstr>
  </property>
</Properties>
</file>