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郑州市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招才引智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市教育局直属学校赴部分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高等院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校引进优秀毕业生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学校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1、本表（一式三份）打印后，需用钢笔或黑色签字笔手工填写，不得提交打印稿，粘贴本人近期一寸彩色照片。</w:t>
      </w:r>
    </w:p>
    <w:p>
      <w:pPr>
        <w:rPr>
          <w:szCs w:val="21"/>
        </w:rPr>
      </w:pPr>
      <w:r>
        <w:rPr>
          <w:rFonts w:hint="eastAsia"/>
          <w:szCs w:val="21"/>
        </w:rPr>
        <w:t>2、审核未通过的审核人要注明未通过原因。</w:t>
      </w:r>
    </w:p>
    <w:p/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7A3C"/>
    <w:rsid w:val="17FFC451"/>
    <w:rsid w:val="79E11C10"/>
    <w:rsid w:val="7F9F7A3C"/>
    <w:rsid w:val="7FFCC9B9"/>
    <w:rsid w:val="EFD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2024-03-06T16:28:00Z</dcterms:created>
  <dc:creator>zzedo011</dc:creator>
  <cp:lastModifiedBy>zzedo011</cp:lastModifiedBy>
  <dcterms:modified xsi:type="dcterms:W3CDTF">2024-03-11T10:43:27Z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