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附件</w:t>
      </w:r>
    </w:p>
    <w:p>
      <w:pPr>
        <w:keepNext w:val="0"/>
        <w:keepLines w:val="0"/>
        <w:widowControl/>
        <w:suppressLineNumbers w:val="0"/>
        <w:jc w:val="center"/>
      </w:pPr>
      <w:r>
        <w:rPr>
          <w:rFonts w:ascii="FZShuSong-Z01" w:hAnsi="FZShuSong-Z01" w:eastAsia="FZShuSong-Z01" w:cs="FZShuSong-Z01"/>
          <w:b/>
          <w:bCs/>
          <w:color w:val="000000"/>
          <w:kern w:val="0"/>
          <w:sz w:val="43"/>
          <w:szCs w:val="43"/>
          <w:lang w:val="en-US" w:eastAsia="zh-CN" w:bidi="ar"/>
        </w:rPr>
        <w:t>考试大纲</w:t>
      </w:r>
    </w:p>
    <w:p>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一、笔试科目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《综合应用能力》为主观题，考试时限为 150 分钟；《职业能力倾向测验》为客观题，考试时限为 90 分钟 。两个科目满分均为 100 分。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二、笔试方式 </w:t>
      </w:r>
      <w:bookmarkStart w:id="0" w:name="_GoBack"/>
      <w:bookmarkEnd w:id="0"/>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三、笔试内容 </w:t>
      </w:r>
    </w:p>
    <w:p>
      <w:pPr>
        <w:keepNext w:val="0"/>
        <w:keepLines w:val="0"/>
        <w:widowControl/>
        <w:suppressLineNumbers w:val="0"/>
        <w:ind w:firstLine="620" w:firstLineChars="200"/>
        <w:jc w:val="left"/>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主要测查应考人员的阅读理解能力、归纳概括能力、逻辑思维能力、综合分析能力、解决问题能力和文字综合能力等。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测查题型包括案例（材料）分析题、论述评价题、校阅改错题、材料作文题等。每次考试从上述题型中组合选取。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widowControl/>
        <w:suppressLineNumbers w:val="0"/>
        <w:ind w:firstLine="622" w:firstLineChars="200"/>
        <w:jc w:val="left"/>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 xml:space="preserve">四、作答要求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widowControl/>
        <w:suppressLineNumbers w:val="0"/>
        <w:ind w:firstLine="620"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应考人员必须用 2B 铅笔在答题卡上作答，作答在题本上或其他位置的一律无效。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199A3088"/>
    <w:rsid w:val="542F7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2024-03-12T12:42:00Z</dcterms:created>
  <dc:creator>Administrator</dc:creator>
  <cp:lastModifiedBy>渔夫渔鱼</cp:lastModifiedBy>
  <dcterms:modified xsi:type="dcterms:W3CDTF">2024-03-15T04:50:47Z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23B7D4F3BC6D46B3A11EAF478BD3EF51_12</vt:lpwstr>
  </property>
</Properties>
</file>