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50"/>
        </w:tabs>
        <w:spacing w:line="5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00" w:lineRule="exact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2024年度安徽宿州技师学院公开招聘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事业单位工作人员岗位表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14" w:tblpY="476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853"/>
        <w:gridCol w:w="853"/>
        <w:gridCol w:w="853"/>
        <w:gridCol w:w="1018"/>
        <w:gridCol w:w="5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岗位名称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岗位代码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招聘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人数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条件要求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（职业能力条件）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0401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电气类</w:t>
            </w:r>
          </w:p>
        </w:tc>
        <w:tc>
          <w:tcPr>
            <w:tcW w:w="5673" w:type="dxa"/>
            <w:shd w:val="clear" w:color="auto" w:fill="auto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符合下列条件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之一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类副高级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以上专业技术资格；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类博士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3.获得电气相关工种世界技能大赛前三名；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4.获得电气相关工种全国职业技能大赛前两名；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5.获得电气相关工种全省技能或职业大赛第一名；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.大学本科及以上学历且取得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电气类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工种高级技师，具有中职或高中以上教师资格证书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还必须具备以下至少一项条件：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①获得中华技能大奖、全国技术能手荣誉称号；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电气相关工种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省级技能大奖、技术能手荣誉称号；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参加或指导学生参加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电气相关工种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省级、国家级比赛，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获省级以上奖项不少于2次；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电气相关工种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世界技能大赛或指导学生参加世界技能大赛获奖的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59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0402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自动化类</w:t>
            </w:r>
          </w:p>
        </w:tc>
        <w:tc>
          <w:tcPr>
            <w:tcW w:w="5673" w:type="dxa"/>
            <w:shd w:val="clear" w:color="auto" w:fill="auto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符合下列条件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之一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自动化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类或其他同等专业水平副高级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以上专业技术资格；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自动化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类博士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学历；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3.获得自动化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世界技能大赛前三名；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4.获得自动化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全国职业技能大赛前两名；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5.获得自动化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全省技能或职业大赛第一名；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.大学本科及以上学历，具有中职或高中以上教师资格证书；还必须具备以下至少一项条件：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①获得中华技能大奖、全国技术能手荣誉称号；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自动化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省级技能大奖、技术能手荣誉称号；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参加或指导学生参加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自动化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省级、国家级比赛，获省一等奖（或国家级二等奖及以上）不少于3次；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参加或指导学生参加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自动化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世界技能大赛获奖的；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自动化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类一项发明专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利，在职期间发表学术论文不少于3篇；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  <w:highlight w:val="none"/>
              </w:rPr>
              <w:t>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自动化、机电一体化和电气工程类专业，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具有技师以上技能等级资格证书，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可从事电工电子类、PLC等专业课教学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59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0403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工商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同时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符合下列条件：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1.研究生及以上学历。其中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研究生学历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应为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为全日制“985、211”或“双一流”建设院校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生。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研究生学历对院校不作要求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具备中职或高中以上教师资格证书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有学校工作经验，熟悉学校管理工作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spacing w:line="50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NmQyZGUxZmZhOWY1NDJjNDUzZDllZTg0M2Q0YTgifQ=="/>
    <w:docVar w:name="KSO_WPS_MARK_KEY" w:val="5ac324f3-626a-48f8-812a-549ee7baf518"/>
  </w:docVars>
  <w:rsids>
    <w:rsidRoot w:val="005C79BC"/>
    <w:rsid w:val="0049262B"/>
    <w:rsid w:val="00500DBE"/>
    <w:rsid w:val="005368E6"/>
    <w:rsid w:val="005C79BC"/>
    <w:rsid w:val="00615700"/>
    <w:rsid w:val="006324C4"/>
    <w:rsid w:val="008D6936"/>
    <w:rsid w:val="009A3451"/>
    <w:rsid w:val="00A260D4"/>
    <w:rsid w:val="00A8733C"/>
    <w:rsid w:val="00B75C79"/>
    <w:rsid w:val="00D50E0F"/>
    <w:rsid w:val="00E017C6"/>
    <w:rsid w:val="00E31BBF"/>
    <w:rsid w:val="00F22728"/>
    <w:rsid w:val="019F04C3"/>
    <w:rsid w:val="0E986957"/>
    <w:rsid w:val="103918C2"/>
    <w:rsid w:val="1C1E62B4"/>
    <w:rsid w:val="337150BC"/>
    <w:rsid w:val="375148D7"/>
    <w:rsid w:val="37EC1072"/>
    <w:rsid w:val="48E87CF5"/>
    <w:rsid w:val="4BF2399F"/>
    <w:rsid w:val="53131F5E"/>
    <w:rsid w:val="56A425AC"/>
    <w:rsid w:val="5CDF354A"/>
    <w:rsid w:val="5E9D058A"/>
    <w:rsid w:val="5FF7A0A1"/>
    <w:rsid w:val="6EF7245E"/>
    <w:rsid w:val="707E505F"/>
    <w:rsid w:val="7467487E"/>
    <w:rsid w:val="DC5FBA2A"/>
    <w:rsid w:val="F7FFB6A1"/>
    <w:rsid w:val="FBFB2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114</Words>
  <Characters>654</Characters>
  <Lines>5</Lines>
  <Paragraphs>1</Paragraphs>
  <TotalTime>0</TotalTime>
  <ScaleCrop>false</ScaleCrop>
  <LinksUpToDate>false</LinksUpToDate>
  <CharactersWithSpaces>767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2024-02-28T09:08:00Z</dcterms:created>
  <dc:creator>hp</dc:creator>
  <cp:lastModifiedBy>greatwall</cp:lastModifiedBy>
  <cp:lastPrinted>2024-03-20T01:21:00Z</cp:lastPrinted>
  <dcterms:modified xsi:type="dcterms:W3CDTF">2024-03-21T15:35:33Z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DD564451DF1347B987E2496BDBED61AA_13</vt:lpwstr>
  </property>
</Properties>
</file>