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2005" w:tblpY="849"/>
        <w:tblOverlap w:val="never"/>
        <w:tblW w:w="12799" w:type="dxa"/>
        <w:tblInd w:w="0" w:type="dxa"/>
        <w:tblLayout w:type="fixed"/>
        <w:tblCellMar>
          <w:top w:w="0" w:type="dxa"/>
          <w:left w:w="0" w:type="dxa"/>
          <w:bottom w:w="0" w:type="dxa"/>
          <w:right w:w="0" w:type="dxa"/>
        </w:tblCellMar>
      </w:tblPr>
      <w:tblGrid>
        <w:gridCol w:w="529"/>
        <w:gridCol w:w="1080"/>
        <w:gridCol w:w="1140"/>
        <w:gridCol w:w="600"/>
        <w:gridCol w:w="615"/>
        <w:gridCol w:w="735"/>
        <w:gridCol w:w="675"/>
        <w:gridCol w:w="1200"/>
        <w:gridCol w:w="915"/>
        <w:gridCol w:w="840"/>
        <w:gridCol w:w="840"/>
        <w:gridCol w:w="1020"/>
        <w:gridCol w:w="1470"/>
        <w:gridCol w:w="1140"/>
      </w:tblGrid>
      <w:tr>
        <w:tblPrEx>
          <w:tblCellMar>
            <w:top w:w="0" w:type="dxa"/>
            <w:left w:w="0" w:type="dxa"/>
            <w:bottom w:w="0" w:type="dxa"/>
            <w:right w:w="0" w:type="dxa"/>
          </w:tblCellMar>
        </w:tblPrEx>
        <w:trPr>
          <w:trHeight w:val="932" w:hRule="atLeast"/>
        </w:trPr>
        <w:tc>
          <w:tcPr>
            <w:tcW w:w="12799" w:type="dxa"/>
            <w:gridSpan w:val="14"/>
            <w:tcBorders>
              <w:top w:val="nil"/>
              <w:left w:val="nil"/>
              <w:bottom w:val="nil"/>
              <w:right w:val="nil"/>
            </w:tcBorders>
            <w:noWrap/>
            <w:tcMar>
              <w:top w:w="15" w:type="dxa"/>
              <w:left w:w="15" w:type="dxa"/>
              <w:right w:w="15" w:type="dxa"/>
            </w:tcMar>
            <w:vAlign w:val="center"/>
          </w:tcPr>
          <w:p>
            <w:pPr>
              <w:widowControl/>
              <w:jc w:val="center"/>
              <w:textAlignment w:val="center"/>
              <w:rPr>
                <w:rFonts w:ascii="Times New Roman" w:hAnsi="Times New Roman" w:eastAsia="方正小标宋简体"/>
                <w:b/>
                <w:color w:val="auto"/>
                <w:sz w:val="24"/>
              </w:rPr>
            </w:pPr>
            <w:bookmarkStart w:id="0" w:name="_GoBack"/>
            <w:r>
              <w:rPr>
                <w:rFonts w:hint="eastAsia" w:ascii="方正小标宋简体" w:hAnsi="方正小标宋简体" w:eastAsia="方正小标宋简体" w:cs="方正小标宋简体"/>
                <w:b/>
                <w:color w:val="auto"/>
                <w:kern w:val="0"/>
                <w:sz w:val="36"/>
                <w:szCs w:val="36"/>
              </w:rPr>
              <w:t>威远县连界镇人民政府面向全县公开考调事业单位工作人员岗位一览表</w:t>
            </w:r>
            <w:bookmarkEnd w:id="0"/>
          </w:p>
        </w:tc>
      </w:tr>
      <w:tr>
        <w:tblPrEx>
          <w:tblCellMar>
            <w:top w:w="0" w:type="dxa"/>
            <w:left w:w="0" w:type="dxa"/>
            <w:bottom w:w="0" w:type="dxa"/>
            <w:right w:w="0" w:type="dxa"/>
          </w:tblCellMar>
        </w:tblPrEx>
        <w:trPr>
          <w:trHeight w:val="1364" w:hRule="atLeast"/>
        </w:trPr>
        <w:tc>
          <w:tcPr>
            <w:tcW w:w="529"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sz w:val="22"/>
                <w:szCs w:val="22"/>
              </w:rPr>
              <w:t>序</w:t>
            </w:r>
          </w:p>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sz w:val="22"/>
                <w:szCs w:val="22"/>
              </w:rPr>
              <w:t>号</w:t>
            </w:r>
          </w:p>
        </w:tc>
        <w:tc>
          <w:tcPr>
            <w:tcW w:w="1080" w:type="dxa"/>
            <w:vMerge w:val="restart"/>
            <w:tcBorders>
              <w:top w:val="single" w:color="000000" w:sz="4" w:space="0"/>
              <w:left w:val="single" w:color="auto" w:sz="4" w:space="0"/>
              <w:right w:val="single" w:color="auto" w:sz="4" w:space="0"/>
            </w:tcBorders>
            <w:noWrap/>
            <w:tcMar>
              <w:top w:w="15" w:type="dxa"/>
              <w:left w:w="15" w:type="dxa"/>
              <w:right w:w="15" w:type="dxa"/>
            </w:tcMar>
            <w:vAlign w:val="center"/>
          </w:tcPr>
          <w:p>
            <w:pPr>
              <w:spacing w:line="300" w:lineRule="exact"/>
              <w:jc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考调单位</w:t>
            </w:r>
          </w:p>
          <w:p>
            <w:pPr>
              <w:spacing w:line="300" w:lineRule="exact"/>
              <w:jc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主管部门</w:t>
            </w:r>
          </w:p>
          <w:p>
            <w:pPr>
              <w:widowControl/>
              <w:spacing w:line="300" w:lineRule="exact"/>
              <w:jc w:val="center"/>
              <w:textAlignment w:val="center"/>
              <w:rPr>
                <w:rFonts w:ascii="方正黑体简体" w:hAnsi="方正黑体简体" w:eastAsia="方正黑体简体" w:cs="方正黑体简体"/>
                <w:b/>
                <w:color w:val="auto"/>
                <w:sz w:val="22"/>
                <w:szCs w:val="22"/>
              </w:rPr>
            </w:pPr>
          </w:p>
        </w:tc>
        <w:tc>
          <w:tcPr>
            <w:tcW w:w="1140"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sz w:val="22"/>
                <w:szCs w:val="22"/>
              </w:rPr>
              <w:t>考调单位</w:t>
            </w:r>
          </w:p>
        </w:tc>
        <w:tc>
          <w:tcPr>
            <w:tcW w:w="6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kern w:val="0"/>
                <w:sz w:val="22"/>
                <w:szCs w:val="22"/>
              </w:rPr>
              <w:t>经费形式</w:t>
            </w:r>
          </w:p>
        </w:tc>
        <w:tc>
          <w:tcPr>
            <w:tcW w:w="61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p>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kern w:val="0"/>
                <w:sz w:val="22"/>
                <w:szCs w:val="22"/>
              </w:rPr>
              <w:t>岗位名称</w:t>
            </w:r>
          </w:p>
        </w:tc>
        <w:tc>
          <w:tcPr>
            <w:tcW w:w="7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kern w:val="0"/>
                <w:sz w:val="22"/>
                <w:szCs w:val="22"/>
              </w:rPr>
              <w:t>考调岗位类别</w:t>
            </w:r>
          </w:p>
        </w:tc>
        <w:tc>
          <w:tcPr>
            <w:tcW w:w="67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kern w:val="0"/>
                <w:sz w:val="22"/>
                <w:szCs w:val="22"/>
              </w:rPr>
              <w:t>考调名额</w:t>
            </w:r>
          </w:p>
        </w:tc>
        <w:tc>
          <w:tcPr>
            <w:tcW w:w="628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报 考 条 件                                                                （请考生务必仔细阅读完本考调公告</w:t>
            </w:r>
          </w:p>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kern w:val="0"/>
                <w:sz w:val="22"/>
                <w:szCs w:val="22"/>
              </w:rPr>
              <w:t>和说明后再填报）</w:t>
            </w:r>
          </w:p>
        </w:tc>
        <w:tc>
          <w:tcPr>
            <w:tcW w:w="11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sz w:val="22"/>
                <w:szCs w:val="22"/>
              </w:rPr>
            </w:pPr>
            <w:r>
              <w:rPr>
                <w:rFonts w:hint="eastAsia" w:ascii="方正黑体简体" w:hAnsi="方正黑体简体" w:eastAsia="方正黑体简体" w:cs="方正黑体简体"/>
                <w:b/>
                <w:color w:val="auto"/>
                <w:kern w:val="0"/>
                <w:sz w:val="22"/>
                <w:szCs w:val="22"/>
              </w:rPr>
              <w:t>备注</w:t>
            </w:r>
          </w:p>
        </w:tc>
      </w:tr>
      <w:tr>
        <w:tblPrEx>
          <w:tblCellMar>
            <w:top w:w="0" w:type="dxa"/>
            <w:left w:w="0" w:type="dxa"/>
            <w:bottom w:w="0" w:type="dxa"/>
            <w:right w:w="0" w:type="dxa"/>
          </w:tblCellMar>
        </w:tblPrEx>
        <w:trPr>
          <w:trHeight w:val="1163" w:hRule="atLeast"/>
        </w:trPr>
        <w:tc>
          <w:tcPr>
            <w:tcW w:w="529"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c>
          <w:tcPr>
            <w:tcW w:w="1080"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c>
          <w:tcPr>
            <w:tcW w:w="1140"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c>
          <w:tcPr>
            <w:tcW w:w="61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学历</w:t>
            </w:r>
          </w:p>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要求</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专业</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学位   要求</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性别</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年龄</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黑体简体" w:hAnsi="方正黑体简体" w:eastAsia="方正黑体简体" w:cs="方正黑体简体"/>
                <w:b/>
                <w:color w:val="auto"/>
                <w:kern w:val="0"/>
                <w:sz w:val="22"/>
                <w:szCs w:val="22"/>
              </w:rPr>
            </w:pPr>
            <w:r>
              <w:rPr>
                <w:rFonts w:hint="eastAsia" w:ascii="方正黑体简体" w:hAnsi="方正黑体简体" w:eastAsia="方正黑体简体" w:cs="方正黑体简体"/>
                <w:b/>
                <w:color w:val="auto"/>
                <w:kern w:val="0"/>
                <w:sz w:val="22"/>
                <w:szCs w:val="22"/>
              </w:rPr>
              <w:t>其他条件</w:t>
            </w:r>
          </w:p>
        </w:tc>
        <w:tc>
          <w:tcPr>
            <w:tcW w:w="11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仿宋简体"/>
                <w:b/>
                <w:color w:val="auto"/>
                <w:sz w:val="20"/>
                <w:szCs w:val="20"/>
              </w:rPr>
            </w:pPr>
          </w:p>
        </w:tc>
      </w:tr>
      <w:tr>
        <w:tblPrEx>
          <w:tblCellMar>
            <w:top w:w="0" w:type="dxa"/>
            <w:left w:w="0" w:type="dxa"/>
            <w:bottom w:w="0" w:type="dxa"/>
            <w:right w:w="0" w:type="dxa"/>
          </w:tblCellMar>
        </w:tblPrEx>
        <w:trPr>
          <w:trHeight w:val="1315" w:hRule="atLeast"/>
        </w:trPr>
        <w:tc>
          <w:tcPr>
            <w:tcW w:w="52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bCs/>
                <w:color w:val="auto"/>
                <w:sz w:val="20"/>
                <w:szCs w:val="20"/>
              </w:rPr>
            </w:pPr>
            <w:r>
              <w:rPr>
                <w:rFonts w:hint="eastAsia" w:ascii="方正小标宋简体" w:hAnsi="方正小标宋简体" w:eastAsia="方正小标宋简体" w:cs="方正小标宋简体"/>
                <w:bCs/>
                <w:color w:val="auto"/>
                <w:sz w:val="20"/>
                <w:szCs w:val="20"/>
              </w:rPr>
              <w:t>1</w:t>
            </w: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textAlignment w:val="center"/>
              <w:rPr>
                <w:rFonts w:ascii="方正仿宋简体" w:hAnsi="方正仿宋简体" w:eastAsia="方正仿宋简体" w:cs="方正仿宋简体"/>
                <w:b/>
                <w:color w:val="auto"/>
                <w:sz w:val="20"/>
                <w:szCs w:val="20"/>
              </w:rPr>
            </w:pPr>
            <w:r>
              <w:rPr>
                <w:rFonts w:ascii="方正仿宋简体" w:hAnsi="方正仿宋简体" w:eastAsia="方正仿宋简体" w:cs="方正仿宋简体"/>
                <w:b/>
                <w:color w:val="auto"/>
                <w:sz w:val="20"/>
                <w:szCs w:val="20"/>
              </w:rPr>
              <w:t>威远县连界镇人民政府</w:t>
            </w:r>
          </w:p>
        </w:tc>
        <w:tc>
          <w:tcPr>
            <w:tcW w:w="11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方正仿宋简体" w:hAnsi="方正仿宋简体" w:eastAsia="方正仿宋简体" w:cs="方正仿宋简体"/>
                <w:b/>
                <w:color w:val="auto"/>
                <w:sz w:val="20"/>
                <w:szCs w:val="20"/>
              </w:rPr>
            </w:pPr>
            <w:r>
              <w:rPr>
                <w:rFonts w:hint="eastAsia" w:ascii="方正仿宋简体" w:hAnsi="方正仿宋简体" w:eastAsia="方正仿宋简体" w:cs="方正仿宋简体"/>
                <w:b/>
                <w:color w:val="auto"/>
                <w:sz w:val="20"/>
                <w:szCs w:val="20"/>
              </w:rPr>
              <w:t>威远县连界镇农业综合服务中心</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方正仿宋简体" w:eastAsia="方正仿宋简体" w:cs="方正仿宋简体"/>
                <w:b/>
                <w:color w:val="auto"/>
                <w:sz w:val="20"/>
                <w:szCs w:val="20"/>
              </w:rPr>
            </w:pPr>
            <w:r>
              <w:rPr>
                <w:rFonts w:hint="eastAsia" w:ascii="方正仿宋简体" w:hAnsi="方正仿宋简体" w:eastAsia="方正仿宋简体" w:cs="方正仿宋简体"/>
                <w:b/>
                <w:color w:val="auto"/>
                <w:sz w:val="20"/>
                <w:szCs w:val="20"/>
              </w:rPr>
              <w:t>全额拨款</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方正仿宋简体" w:eastAsia="方正仿宋简体" w:cs="方正仿宋简体"/>
                <w:b/>
                <w:color w:val="auto"/>
                <w:kern w:val="0"/>
                <w:sz w:val="20"/>
                <w:szCs w:val="20"/>
              </w:rPr>
            </w:pPr>
            <w:r>
              <w:rPr>
                <w:rFonts w:hint="eastAsia" w:ascii="方正仿宋简体" w:hAnsi="方正仿宋简体" w:eastAsia="方正仿宋简体" w:cs="方正仿宋简体"/>
                <w:b/>
                <w:color w:val="auto"/>
                <w:kern w:val="0"/>
                <w:sz w:val="20"/>
                <w:szCs w:val="20"/>
              </w:rPr>
              <w:t>综合管理</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方正仿宋简体" w:eastAsia="方正仿宋简体" w:cs="方正仿宋简体"/>
                <w:b/>
                <w:color w:val="auto"/>
                <w:kern w:val="0"/>
                <w:sz w:val="20"/>
                <w:szCs w:val="20"/>
              </w:rPr>
            </w:pPr>
            <w:r>
              <w:rPr>
                <w:rFonts w:hint="eastAsia" w:ascii="方正仿宋简体" w:hAnsi="方正仿宋简体" w:eastAsia="方正仿宋简体" w:cs="方正仿宋简体"/>
                <w:b/>
                <w:color w:val="auto"/>
                <w:kern w:val="0"/>
                <w:sz w:val="20"/>
                <w:szCs w:val="20"/>
              </w:rPr>
              <w:t>管理  岗位</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方正仿宋简体" w:eastAsia="方正仿宋简体" w:cs="方正仿宋简体"/>
                <w:b/>
                <w:color w:val="auto"/>
                <w:sz w:val="20"/>
                <w:szCs w:val="20"/>
              </w:rPr>
            </w:pPr>
            <w:r>
              <w:rPr>
                <w:rFonts w:hint="eastAsia" w:ascii="Times New Roman" w:hAnsi="Times New Roman" w:eastAsia="方正仿宋简体" w:cs="Times New Roman"/>
                <w:b/>
                <w:color w:val="auto"/>
                <w:sz w:val="20"/>
                <w:szCs w:val="20"/>
              </w:rPr>
              <w:t>1</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方正仿宋简体" w:eastAsia="方正仿宋简体" w:cs="方正仿宋简体"/>
                <w:b/>
                <w:color w:val="auto"/>
                <w:sz w:val="20"/>
                <w:szCs w:val="20"/>
              </w:rPr>
            </w:pPr>
            <w:r>
              <w:rPr>
                <w:rFonts w:ascii="方正仿宋简体" w:hAnsi="方正仿宋简体" w:eastAsia="方正仿宋简体" w:cs="方正仿宋简体"/>
                <w:b/>
                <w:color w:val="auto"/>
                <w:sz w:val="20"/>
                <w:szCs w:val="20"/>
              </w:rPr>
              <w:t>本科及以上学历</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方正仿宋简体" w:eastAsia="方正仿宋简体" w:cs="方正仿宋简体"/>
                <w:b/>
                <w:color w:val="auto"/>
                <w:kern w:val="0"/>
                <w:sz w:val="20"/>
                <w:szCs w:val="20"/>
              </w:rPr>
            </w:pPr>
            <w:r>
              <w:rPr>
                <w:rFonts w:hint="eastAsia" w:ascii="方正仿宋简体" w:hAnsi="方正仿宋简体" w:eastAsia="方正仿宋简体" w:cs="方正仿宋简体"/>
                <w:b/>
                <w:color w:val="auto"/>
                <w:kern w:val="0"/>
                <w:sz w:val="20"/>
                <w:szCs w:val="20"/>
              </w:rPr>
              <w:t>不限</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方正仿宋简体" w:eastAsia="方正仿宋简体" w:cs="方正仿宋简体"/>
                <w:b/>
                <w:color w:val="auto"/>
                <w:sz w:val="20"/>
                <w:szCs w:val="20"/>
              </w:rPr>
            </w:pPr>
            <w:r>
              <w:rPr>
                <w:rFonts w:hint="eastAsia" w:ascii="方正仿宋简体" w:hAnsi="方正仿宋简体" w:eastAsia="方正仿宋简体" w:cs="方正仿宋简体"/>
                <w:b/>
                <w:color w:val="auto"/>
                <w:kern w:val="0"/>
                <w:sz w:val="20"/>
                <w:szCs w:val="20"/>
              </w:rPr>
              <w:t>无</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简体" w:cs="Times New Roman"/>
                <w:b/>
                <w:color w:val="auto"/>
                <w:sz w:val="20"/>
                <w:szCs w:val="20"/>
              </w:rPr>
            </w:pPr>
            <w:r>
              <w:rPr>
                <w:rFonts w:ascii="Times New Roman" w:hAnsi="Times New Roman" w:eastAsia="方正仿宋简体" w:cs="Times New Roman"/>
                <w:b/>
                <w:color w:val="auto"/>
                <w:kern w:val="0"/>
                <w:sz w:val="20"/>
                <w:szCs w:val="20"/>
              </w:rPr>
              <w:t>不限</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简体" w:cs="Times New Roman"/>
                <w:b/>
                <w:color w:val="auto"/>
                <w:kern w:val="0"/>
                <w:sz w:val="20"/>
                <w:szCs w:val="20"/>
              </w:rPr>
            </w:pPr>
            <w:r>
              <w:rPr>
                <w:rFonts w:hint="eastAsia" w:eastAsia="方正仿宋简体" w:cs="Times New Roman"/>
                <w:b/>
                <w:color w:val="auto"/>
                <w:sz w:val="20"/>
                <w:szCs w:val="20"/>
              </w:rPr>
              <w:t>35</w:t>
            </w:r>
            <w:r>
              <w:rPr>
                <w:rFonts w:ascii="Times New Roman" w:hAnsi="Times New Roman" w:eastAsia="方正仿宋简体" w:cs="Times New Roman"/>
                <w:b/>
                <w:color w:val="auto"/>
                <w:sz w:val="20"/>
                <w:szCs w:val="20"/>
              </w:rPr>
              <w:t>周岁及以</w:t>
            </w:r>
            <w:r>
              <w:rPr>
                <w:rFonts w:hint="eastAsia" w:ascii="方正仿宋简体" w:hAnsi="方正仿宋简体" w:eastAsia="方正仿宋简体" w:cs="方正仿宋简体"/>
                <w:b/>
                <w:color w:val="auto"/>
                <w:sz w:val="20"/>
                <w:szCs w:val="20"/>
              </w:rPr>
              <w:t>下</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简体" w:cs="Times New Roman"/>
                <w:b/>
                <w:color w:val="auto"/>
                <w:kern w:val="0"/>
                <w:sz w:val="20"/>
                <w:szCs w:val="20"/>
              </w:rPr>
            </w:pPr>
            <w:r>
              <w:rPr>
                <w:rFonts w:hint="eastAsia" w:eastAsia="方正仿宋简体" w:cs="Times New Roman"/>
                <w:b/>
                <w:color w:val="auto"/>
                <w:kern w:val="0"/>
                <w:sz w:val="20"/>
                <w:szCs w:val="20"/>
              </w:rPr>
              <w:t>无</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方正小标宋简体" w:hAnsi="方正小标宋简体" w:eastAsia="方正小标宋简体" w:cs="方正小标宋简体"/>
                <w:bCs/>
                <w:color w:val="auto"/>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ZTc3MjZkZGE4M2FkOTkwMTUyMzdmNjQxM2Q3MzAifQ=="/>
  </w:docVars>
  <w:rsids>
    <w:rsidRoot w:val="24BF767F"/>
    <w:rsid w:val="24BF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2024-04-08T07:54:00Z</dcterms:created>
  <dc:creator>萌</dc:creator>
  <cp:lastModifiedBy>萌</cp:lastModifiedBy>
  <dcterms:modified xsi:type="dcterms:W3CDTF">2024-04-08T07:56:41Z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48652CCE768B489386AE04C5707C35D4_11</vt:lpwstr>
  </property>
</Properties>
</file>