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bookmarkStart w:id="0" w:name="_GoBack"/>
      <w:r>
        <w:rPr>
          <w:rFonts w:hint="eastAsia"/>
          <w:b/>
          <w:bCs/>
          <w:sz w:val="44"/>
          <w:szCs w:val="44"/>
        </w:rPr>
        <w:t>要素测评标准表</w:t>
      </w:r>
    </w:p>
    <w:bookmarkEnd w:id="0"/>
    <w:tbl>
      <w:tblPr>
        <w:tblStyle w:val="3"/>
        <w:tblpPr w:leftFromText="180" w:rightFromText="180" w:vertAnchor="text" w:horzAnchor="page"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85" w:type="dxa"/>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hint="eastAsia"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w:t>
            </w:r>
            <w:r>
              <w:rPr>
                <w:rFonts w:hint="eastAsia" w:ascii="Times New Roman" w:hAnsi="Times New Roman" w:eastAsia="宋体" w:cs="Times New Roman"/>
                <w:lang w:bidi="ar-SA"/>
              </w:rPr>
              <w:t>（或高级技师）任职资格的；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hint="eastAsia" w:ascii="仿宋" w:eastAsia="仿宋"/>
                <w:szCs w:val="21"/>
                <w:u w:val="single"/>
              </w:rPr>
            </w:pPr>
            <w:r>
              <w:rPr>
                <w:rFonts w:hint="eastAsia" w:asci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2</w:t>
            </w:r>
          </w:p>
        </w:tc>
        <w:tc>
          <w:tcPr>
            <w:tcW w:w="6141" w:type="dxa"/>
            <w:noWrap w:val="0"/>
            <w:vAlign w:val="center"/>
          </w:tcPr>
          <w:p>
            <w:pPr>
              <w:pStyle w:val="5"/>
            </w:pPr>
            <w:r>
              <w:rPr>
                <w:rFonts w:hint="eastAsia"/>
              </w:rPr>
              <w:t>①具有中级专业技术职务（或技师）任职资格的；</w:t>
            </w:r>
          </w:p>
          <w:p>
            <w:pPr>
              <w:pStyle w:val="5"/>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3</w:t>
            </w:r>
          </w:p>
        </w:tc>
        <w:tc>
          <w:tcPr>
            <w:tcW w:w="6141" w:type="dxa"/>
            <w:noWrap w:val="0"/>
            <w:vAlign w:val="center"/>
          </w:tcPr>
          <w:p>
            <w:pPr>
              <w:pStyle w:val="5"/>
            </w:pPr>
            <w:r>
              <w:rPr>
                <w:rFonts w:hint="eastAsia"/>
              </w:rPr>
              <w:t>①具有全日制普通高校本科学历的；</w:t>
            </w:r>
          </w:p>
          <w:p>
            <w:pPr>
              <w:pStyle w:val="5"/>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4</w:t>
            </w:r>
          </w:p>
        </w:tc>
        <w:tc>
          <w:tcPr>
            <w:tcW w:w="6141" w:type="dxa"/>
            <w:noWrap w:val="0"/>
            <w:vAlign w:val="center"/>
          </w:tcPr>
          <w:p>
            <w:pPr>
              <w:pStyle w:val="5"/>
            </w:pPr>
            <w:r>
              <w:rPr>
                <w:rFonts w:hint="eastAsia"/>
              </w:rPr>
              <w:t>①具有非全日制普通高校本科学历的；</w:t>
            </w:r>
          </w:p>
          <w:p>
            <w:pPr>
              <w:pStyle w:val="5"/>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5</w:t>
            </w:r>
          </w:p>
        </w:tc>
        <w:tc>
          <w:tcPr>
            <w:tcW w:w="6141" w:type="dxa"/>
            <w:noWrap w:val="0"/>
            <w:vAlign w:val="center"/>
          </w:tcPr>
          <w:p>
            <w:pPr>
              <w:pStyle w:val="5"/>
            </w:pPr>
            <w:r>
              <w:rPr>
                <w:rFonts w:hint="eastAsia"/>
              </w:rPr>
              <w:t>①具有全日制普通高校大专学历的；</w:t>
            </w:r>
          </w:p>
          <w:p>
            <w:pPr>
              <w:pStyle w:val="5"/>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5"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6</w:t>
            </w:r>
          </w:p>
        </w:tc>
        <w:tc>
          <w:tcPr>
            <w:tcW w:w="6141" w:type="dxa"/>
            <w:noWrap w:val="0"/>
            <w:vAlign w:val="center"/>
          </w:tcPr>
          <w:p>
            <w:pPr>
              <w:pStyle w:val="5"/>
              <w:rPr>
                <w:rFonts w:hint="eastAsia"/>
              </w:rPr>
            </w:pPr>
          </w:p>
          <w:p>
            <w:pPr>
              <w:pStyle w:val="5"/>
              <w:rPr>
                <w:rFonts w:hint="eastAsia"/>
              </w:rPr>
            </w:pPr>
            <w:r>
              <w:rPr>
                <w:rFonts w:hint="eastAsia"/>
              </w:rPr>
              <w:t>具有非全日制普通高校大专学历的。</w:t>
            </w:r>
          </w:p>
          <w:p>
            <w:pPr>
              <w:pStyle w:val="5"/>
              <w:rPr>
                <w:rFonts w:hint="eastAsia"/>
              </w:rPr>
            </w:pPr>
          </w:p>
        </w:tc>
        <w:tc>
          <w:tcPr>
            <w:tcW w:w="2113"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计60分</w:t>
            </w:r>
          </w:p>
        </w:tc>
      </w:tr>
    </w:tbl>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p>
      <w:pPr>
        <w:spacing w:line="572" w:lineRule="exact"/>
        <w:rPr>
          <w:rFonts w:hint="eastAsia" w:ascii="仿宋" w:eastAsia="仿宋"/>
          <w:sz w:val="28"/>
          <w:szCs w:val="28"/>
        </w:rPr>
      </w:pPr>
    </w:p>
    <w:tbl>
      <w:tblPr>
        <w:tblStyle w:val="3"/>
        <w:tblpPr w:leftFromText="180" w:rightFromText="180" w:vertAnchor="text" w:horzAnchor="page"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序号</w:t>
            </w:r>
          </w:p>
        </w:tc>
        <w:tc>
          <w:tcPr>
            <w:tcW w:w="8222" w:type="dxa"/>
            <w:gridSpan w:val="2"/>
            <w:noWrap w:val="0"/>
            <w:vAlign w:val="center"/>
          </w:tcPr>
          <w:p>
            <w:pPr>
              <w:spacing w:line="572" w:lineRule="exact"/>
              <w:jc w:val="center"/>
              <w:rPr>
                <w:rFonts w:hint="eastAsia" w:ascii="仿宋_GB2312" w:eastAsia="仿宋_GB2312"/>
                <w:b/>
                <w:bCs/>
                <w:sz w:val="28"/>
                <w:szCs w:val="32"/>
              </w:rPr>
            </w:pPr>
            <w:r>
              <w:rPr>
                <w:rFonts w:hint="eastAsia" w:ascii="仿宋_GB2312" w:eastAsia="仿宋_GB2312"/>
                <w:b/>
                <w:bCs/>
                <w:sz w:val="28"/>
                <w:szCs w:val="32"/>
              </w:rPr>
              <w:t>要素测评标准（B）</w:t>
            </w:r>
          </w:p>
          <w:p>
            <w:pPr>
              <w:pStyle w:val="6"/>
              <w:jc w:val="center"/>
            </w:pPr>
            <w:r>
              <w:rPr>
                <w:rFonts w:hint="eastAsia" w:ascii="仿宋_GB2312" w:eastAsia="仿宋_GB2312"/>
                <w:sz w:val="28"/>
                <w:szCs w:val="32"/>
              </w:rPr>
              <w:t>（适合要求初中或高中学历起点的岗位）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1</w:t>
            </w:r>
          </w:p>
        </w:tc>
        <w:tc>
          <w:tcPr>
            <w:tcW w:w="6109" w:type="dxa"/>
            <w:noWrap w:val="0"/>
            <w:vAlign w:val="center"/>
          </w:tcPr>
          <w:p>
            <w:pPr>
              <w:pStyle w:val="6"/>
            </w:pPr>
            <w:r>
              <w:rPr>
                <w:rFonts w:hint="eastAsia"/>
              </w:rPr>
              <w:t>取得高级技师技能等级（高级专业技术职务任职资格）的。</w:t>
            </w:r>
          </w:p>
        </w:tc>
        <w:tc>
          <w:tcPr>
            <w:tcW w:w="2113" w:type="dxa"/>
            <w:noWrap w:val="0"/>
            <w:vAlign w:val="center"/>
          </w:tcPr>
          <w:p>
            <w:pPr>
              <w:spacing w:line="572" w:lineRule="exact"/>
              <w:rPr>
                <w:rFonts w:hint="eastAsia" w:ascii="仿宋" w:eastAsia="仿宋"/>
                <w:szCs w:val="21"/>
              </w:rPr>
            </w:pPr>
            <w:r>
              <w:rPr>
                <w:rFonts w:hint="eastAsia" w:asci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2</w:t>
            </w:r>
          </w:p>
        </w:tc>
        <w:tc>
          <w:tcPr>
            <w:tcW w:w="6109" w:type="dxa"/>
            <w:noWrap w:val="0"/>
            <w:vAlign w:val="center"/>
          </w:tcPr>
          <w:p>
            <w:pPr>
              <w:pStyle w:val="6"/>
            </w:pPr>
            <w:r>
              <w:rPr>
                <w:rFonts w:hint="eastAsia"/>
              </w:rPr>
              <w:t>取得技师技能等级（中级专业技术职务任职资格）的。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3</w:t>
            </w:r>
          </w:p>
        </w:tc>
        <w:tc>
          <w:tcPr>
            <w:tcW w:w="6109" w:type="dxa"/>
            <w:noWrap w:val="0"/>
            <w:vAlign w:val="center"/>
          </w:tcPr>
          <w:p>
            <w:pPr>
              <w:pStyle w:val="6"/>
            </w:pPr>
            <w:r>
              <w:rPr>
                <w:rFonts w:hint="eastAsia"/>
              </w:rPr>
              <w:t>取得高级工技能等级（助理级专业技术职务任职资格）的。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4</w:t>
            </w:r>
          </w:p>
        </w:tc>
        <w:tc>
          <w:tcPr>
            <w:tcW w:w="6109" w:type="dxa"/>
            <w:noWrap w:val="0"/>
            <w:vAlign w:val="center"/>
          </w:tcPr>
          <w:p>
            <w:pPr>
              <w:pStyle w:val="6"/>
            </w:pPr>
            <w:r>
              <w:rPr>
                <w:rFonts w:hint="eastAsia"/>
              </w:rPr>
              <w:t>取得中级工技能等级（员级专业技术职务任职资格）的。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5</w:t>
            </w:r>
          </w:p>
        </w:tc>
        <w:tc>
          <w:tcPr>
            <w:tcW w:w="6109" w:type="dxa"/>
            <w:noWrap w:val="0"/>
            <w:vAlign w:val="center"/>
          </w:tcPr>
          <w:p>
            <w:pPr>
              <w:pStyle w:val="6"/>
            </w:pPr>
            <w:r>
              <w:rPr>
                <w:rFonts w:hint="eastAsia"/>
              </w:rPr>
              <w:t>取得初级工技能等级的。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6</w:t>
            </w:r>
          </w:p>
        </w:tc>
        <w:tc>
          <w:tcPr>
            <w:tcW w:w="6109" w:type="dxa"/>
            <w:noWrap w:val="0"/>
            <w:vAlign w:val="center"/>
          </w:tcPr>
          <w:p>
            <w:pPr>
              <w:pStyle w:val="6"/>
            </w:pPr>
            <w:r>
              <w:rPr>
                <w:rFonts w:hint="eastAsia"/>
              </w:rPr>
              <w:t>符合岗位所需学历或技术要求基本条件的。</w:t>
            </w:r>
          </w:p>
        </w:tc>
        <w:tc>
          <w:tcPr>
            <w:tcW w:w="2113" w:type="dxa"/>
            <w:noWrap w:val="0"/>
            <w:vAlign w:val="center"/>
          </w:tcPr>
          <w:p>
            <w:pPr>
              <w:spacing w:line="572" w:lineRule="exact"/>
              <w:rPr>
                <w:rFonts w:hint="eastAsia" w:ascii="仿宋" w:eastAsia="仿宋"/>
                <w:sz w:val="28"/>
                <w:szCs w:val="28"/>
              </w:rPr>
            </w:pPr>
            <w:r>
              <w:rPr>
                <w:rFonts w:hint="eastAsia" w:ascii="仿宋" w:eastAsia="仿宋"/>
                <w:sz w:val="28"/>
                <w:szCs w:val="28"/>
              </w:rPr>
              <w:t>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noWrap w:val="0"/>
            <w:vAlign w:val="center"/>
          </w:tcPr>
          <w:p>
            <w:pPr>
              <w:spacing w:line="572" w:lineRule="exact"/>
              <w:jc w:val="center"/>
              <w:rPr>
                <w:rFonts w:hint="eastAsia" w:ascii="仿宋" w:eastAsia="仿宋"/>
                <w:sz w:val="28"/>
                <w:szCs w:val="28"/>
              </w:rPr>
            </w:pPr>
            <w:r>
              <w:rPr>
                <w:rFonts w:hint="eastAsia" w:ascii="仿宋" w:eastAsia="仿宋"/>
                <w:sz w:val="28"/>
                <w:szCs w:val="28"/>
              </w:rPr>
              <w:t>7</w:t>
            </w:r>
          </w:p>
        </w:tc>
        <w:tc>
          <w:tcPr>
            <w:tcW w:w="6109" w:type="dxa"/>
            <w:noWrap w:val="0"/>
            <w:vAlign w:val="center"/>
          </w:tcPr>
          <w:p>
            <w:pPr>
              <w:pStyle w:val="6"/>
              <w:rPr>
                <w:rFonts w:hint="eastAsia"/>
              </w:rPr>
            </w:pPr>
            <w:r>
              <w:rPr>
                <w:rFonts w:hint="eastAsia"/>
              </w:rPr>
              <w:t>加分项：具有大专及以上学历的加10分。</w:t>
            </w:r>
          </w:p>
        </w:tc>
        <w:tc>
          <w:tcPr>
            <w:tcW w:w="2113" w:type="dxa"/>
            <w:noWrap w:val="0"/>
            <w:vAlign w:val="center"/>
          </w:tcPr>
          <w:p>
            <w:pPr>
              <w:spacing w:line="572" w:lineRule="exact"/>
              <w:rPr>
                <w:rFonts w:hint="eastAsia" w:ascii="仿宋" w:eastAsia="仿宋"/>
                <w:sz w:val="28"/>
                <w:szCs w:val="28"/>
              </w:rPr>
            </w:pPr>
          </w:p>
        </w:tc>
      </w:tr>
    </w:tbl>
    <w:p>
      <w:pPr>
        <w:spacing w:line="572" w:lineRule="exact"/>
        <w:rPr>
          <w:rFonts w:hint="eastAsia" w:ascii="仿宋" w:eastAsia="仿宋"/>
          <w:sz w:val="28"/>
          <w:szCs w:val="28"/>
        </w:rPr>
      </w:pPr>
      <w:r>
        <w:rPr>
          <w:rFonts w:hint="eastAsia" w:ascii="仿宋" w:eastAsia="仿宋"/>
          <w:b/>
          <w:bCs/>
          <w:sz w:val="28"/>
          <w:szCs w:val="28"/>
        </w:rPr>
        <w:t>注：</w:t>
      </w:r>
      <w:r>
        <w:rPr>
          <w:rFonts w:hint="eastAsia" w:ascii="仿宋" w:eastAsia="仿宋"/>
          <w:sz w:val="28"/>
          <w:szCs w:val="28"/>
        </w:rPr>
        <w:t>1．国外学历参照执行（世界排名前200名的视为“双一流”高校），具体由区人事考试中心负责解释。2.要素测评总分最高100分。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125406DC"/>
    <w:rsid w:val="1254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5">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No Spacing"/>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2024-01-25T08:52:00Z</dcterms:created>
  <dc:creator>林书娴</dc:creator>
  <cp:lastModifiedBy>林书娴</cp:lastModifiedBy>
  <dcterms:modified xsi:type="dcterms:W3CDTF">2024-01-25T08:52:56Z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3D4817178C1848E8BA1CCD5F9674C700_11</vt:lpwstr>
  </property>
</Properties>
</file>