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adjustRightInd w:val="0"/>
        <w:snapToGrid w:val="0"/>
        <w:spacing w:line="560" w:lineRule="exact"/>
        <w:rPr>
          <w:rFonts w:ascii="宋体" w:cs="宋体"/>
          <w:w w:val="85"/>
          <w:kern w:val="0"/>
          <w:sz w:val="32"/>
          <w:szCs w:val="32"/>
        </w:rPr>
      </w:pPr>
      <w:bookmarkStart w:id="0" w:name="_Toc6286_WPSOffice_Level1"/>
      <w:r>
        <w:rPr>
          <w:rFonts w:hint="eastAsia" w:ascii="楷体" w:hAnsi="楷体" w:eastAsia="楷体" w:cs="宋体"/>
          <w:w w:val="85"/>
          <w:kern w:val="0"/>
          <w:sz w:val="32"/>
          <w:szCs w:val="32"/>
        </w:rPr>
        <w:t>附件</w:t>
      </w:r>
      <w:r>
        <w:rPr>
          <w:rFonts w:ascii="楷体" w:hAnsi="楷体" w:eastAsia="楷体" w:cs="宋体"/>
          <w:w w:val="85"/>
          <w:kern w:val="0"/>
          <w:sz w:val="32"/>
          <w:szCs w:val="32"/>
        </w:rPr>
        <w:t>1</w:t>
      </w:r>
      <w:r>
        <w:rPr>
          <w:rFonts w:hint="eastAsia" w:ascii="宋体" w:hAnsi="宋体" w:cs="宋体"/>
          <w:w w:val="85"/>
          <w:kern w:val="0"/>
          <w:sz w:val="32"/>
          <w:szCs w:val="32"/>
        </w:rPr>
        <w:t>：</w:t>
      </w:r>
    </w:p>
    <w:p>
      <w:pPr>
        <w:shd w:val="clear"/>
        <w:adjustRightInd w:val="0"/>
        <w:snapToGrid w:val="0"/>
        <w:spacing w:line="560" w:lineRule="exact"/>
        <w:jc w:val="center"/>
        <w:rPr>
          <w:rFonts w:ascii="宋体" w:cs="宋体"/>
          <w:b/>
          <w:w w:val="85"/>
          <w:kern w:val="0"/>
          <w:sz w:val="44"/>
          <w:szCs w:val="44"/>
        </w:rPr>
      </w:pPr>
      <w:r>
        <w:rPr>
          <w:rFonts w:hint="eastAsia" w:ascii="宋体" w:hAnsi="宋体" w:cs="宋体"/>
          <w:b/>
          <w:w w:val="85"/>
          <w:kern w:val="0"/>
          <w:sz w:val="44"/>
          <w:szCs w:val="44"/>
        </w:rPr>
        <w:t>厦门市翔安区所属卫生事业单位公开招聘</w:t>
      </w:r>
    </w:p>
    <w:p>
      <w:pPr>
        <w:shd w:val="clear"/>
        <w:adjustRightInd w:val="0"/>
        <w:snapToGrid w:val="0"/>
        <w:spacing w:line="560" w:lineRule="exact"/>
        <w:jc w:val="center"/>
        <w:rPr>
          <w:rFonts w:ascii="宋体" w:cs="宋体"/>
          <w:b/>
          <w:w w:val="85"/>
          <w:kern w:val="0"/>
          <w:sz w:val="44"/>
          <w:szCs w:val="44"/>
        </w:rPr>
      </w:pPr>
      <w:r>
        <w:rPr>
          <w:rFonts w:hint="eastAsia" w:ascii="宋体" w:hAnsi="宋体" w:cs="宋体"/>
          <w:b/>
          <w:w w:val="85"/>
          <w:kern w:val="0"/>
          <w:sz w:val="44"/>
          <w:szCs w:val="44"/>
        </w:rPr>
        <w:t>工作人员报考须知（</w:t>
      </w:r>
      <w:r>
        <w:rPr>
          <w:rFonts w:ascii="宋体" w:hAnsi="宋体" w:cs="宋体"/>
          <w:b/>
          <w:w w:val="85"/>
          <w:kern w:val="0"/>
          <w:sz w:val="44"/>
          <w:szCs w:val="44"/>
        </w:rPr>
        <w:t>202</w:t>
      </w:r>
      <w:r>
        <w:rPr>
          <w:rFonts w:hint="eastAsia" w:ascii="宋体" w:hAnsi="宋体" w:cs="宋体"/>
          <w:b/>
          <w:w w:val="85"/>
          <w:kern w:val="0"/>
          <w:sz w:val="44"/>
          <w:szCs w:val="44"/>
        </w:rPr>
        <w:t>4年4月）</w:t>
      </w:r>
      <w:bookmarkEnd w:id="0"/>
    </w:p>
    <w:p>
      <w:pPr>
        <w:shd w:val="clear"/>
        <w:adjustRightInd w:val="0"/>
        <w:snapToGrid w:val="0"/>
        <w:spacing w:line="560" w:lineRule="exact"/>
        <w:jc w:val="center"/>
        <w:rPr>
          <w:rFonts w:ascii="宋体" w:cs="宋体"/>
          <w:b/>
          <w:w w:val="85"/>
          <w:kern w:val="0"/>
          <w:sz w:val="44"/>
          <w:szCs w:val="44"/>
        </w:rPr>
      </w:pPr>
      <w:r>
        <w:rPr>
          <w:rFonts w:hint="eastAsia" w:ascii="宋体" w:hAnsi="宋体" w:cs="宋体"/>
          <w:b/>
          <w:w w:val="85"/>
          <w:kern w:val="0"/>
          <w:sz w:val="44"/>
          <w:szCs w:val="44"/>
        </w:rPr>
        <w:t>目录</w:t>
      </w:r>
    </w:p>
    <w:p>
      <w:pPr>
        <w:shd w:val="clear"/>
        <w:adjustRightInd w:val="0"/>
        <w:snapToGrid w:val="0"/>
        <w:spacing w:line="560" w:lineRule="exact"/>
        <w:jc w:val="center"/>
        <w:rPr>
          <w:sz w:val="24"/>
          <w:szCs w:val="24"/>
        </w:rPr>
      </w:pPr>
    </w:p>
    <w:p>
      <w:pPr>
        <w:pStyle w:val="7"/>
        <w:shd w:val="clear"/>
        <w:tabs>
          <w:tab w:val="right" w:leader="dot" w:pos="8834"/>
        </w:tabs>
        <w:snapToGrid w:val="0"/>
        <w:spacing w:line="560" w:lineRule="exact"/>
      </w:pPr>
      <w:r>
        <w:rPr>
          <w:rFonts w:ascii="仿宋" w:hAnsi="仿宋" w:eastAsia="仿宋" w:cs="仿宋"/>
          <w:sz w:val="24"/>
          <w:szCs w:val="24"/>
        </w:rPr>
        <w:fldChar w:fldCharType="begin"/>
      </w:r>
      <w:r>
        <w:rPr>
          <w:rFonts w:ascii="仿宋" w:hAnsi="仿宋" w:eastAsia="仿宋" w:cs="仿宋"/>
          <w:sz w:val="24"/>
          <w:szCs w:val="24"/>
        </w:rPr>
        <w:instrText xml:space="preserve">TOC \o "1-3" \h \u </w:instrText>
      </w:r>
      <w:r>
        <w:rPr>
          <w:rFonts w:ascii="仿宋" w:hAnsi="仿宋" w:eastAsia="仿宋" w:cs="仿宋"/>
          <w:sz w:val="24"/>
          <w:szCs w:val="24"/>
        </w:rPr>
        <w:fldChar w:fldCharType="separate"/>
      </w:r>
      <w:r>
        <w:fldChar w:fldCharType="begin"/>
      </w:r>
      <w:r>
        <w:instrText xml:space="preserve"> HYPERLINK \l "_Toc70495066" </w:instrText>
      </w:r>
      <w:r>
        <w:fldChar w:fldCharType="separate"/>
      </w:r>
      <w:r>
        <w:rPr>
          <w:rStyle w:val="13"/>
          <w:rFonts w:hint="eastAsia" w:ascii="黑体" w:hAnsi="黑体" w:eastAsia="黑体"/>
          <w:color w:val="auto"/>
          <w:sz w:val="24"/>
          <w:szCs w:val="24"/>
        </w:rPr>
        <w:t>一、基本条件</w:t>
      </w:r>
      <w:r>
        <w:rPr>
          <w:rStyle w:val="13"/>
          <w:rFonts w:hint="eastAsia" w:ascii="黑体" w:hAnsi="黑体" w:eastAsia="黑体"/>
          <w:color w:val="auto"/>
          <w:sz w:val="24"/>
          <w:szCs w:val="24"/>
        </w:rPr>
        <w:tab/>
      </w:r>
      <w:r>
        <w:rPr>
          <w:rStyle w:val="13"/>
          <w:rFonts w:hint="eastAsia" w:ascii="黑体" w:hAnsi="黑体" w:eastAsia="黑体"/>
          <w:color w:val="auto"/>
          <w:sz w:val="24"/>
          <w:szCs w:val="24"/>
        </w:rPr>
        <w:fldChar w:fldCharType="begin"/>
      </w:r>
      <w:r>
        <w:rPr>
          <w:rStyle w:val="13"/>
          <w:rFonts w:hint="eastAsia" w:ascii="黑体" w:hAnsi="黑体" w:eastAsia="黑体"/>
          <w:color w:val="auto"/>
          <w:sz w:val="24"/>
          <w:szCs w:val="24"/>
        </w:rPr>
        <w:instrText xml:space="preserve"> PAGEREF _Toc70495066 \h </w:instrText>
      </w:r>
      <w:r>
        <w:rPr>
          <w:rStyle w:val="13"/>
          <w:rFonts w:hint="eastAsia" w:ascii="黑体" w:hAnsi="黑体" w:eastAsia="黑体"/>
          <w:color w:val="auto"/>
          <w:sz w:val="24"/>
          <w:szCs w:val="24"/>
        </w:rPr>
        <w:fldChar w:fldCharType="separate"/>
      </w:r>
      <w:r>
        <w:rPr>
          <w:rStyle w:val="13"/>
          <w:rFonts w:ascii="黑体" w:hAnsi="黑体" w:eastAsia="黑体"/>
          <w:color w:val="auto"/>
          <w:sz w:val="24"/>
          <w:szCs w:val="24"/>
        </w:rPr>
        <w:t>1</w:t>
      </w:r>
      <w:r>
        <w:rPr>
          <w:rStyle w:val="13"/>
          <w:rFonts w:hint="eastAsia" w:ascii="黑体" w:hAnsi="黑体" w:eastAsia="黑体"/>
          <w:color w:val="auto"/>
          <w:sz w:val="24"/>
          <w:szCs w:val="24"/>
        </w:rPr>
        <w:fldChar w:fldCharType="end"/>
      </w:r>
      <w:r>
        <w:rPr>
          <w:rStyle w:val="13"/>
          <w:rFonts w:hint="eastAsia" w:ascii="黑体" w:hAnsi="黑体" w:eastAsia="黑体"/>
          <w:color w:val="auto"/>
          <w:sz w:val="24"/>
          <w:szCs w:val="24"/>
        </w:rPr>
        <w:fldChar w:fldCharType="end"/>
      </w:r>
    </w:p>
    <w:p>
      <w:pPr>
        <w:pStyle w:val="7"/>
        <w:shd w:val="clear"/>
        <w:tabs>
          <w:tab w:val="right" w:leader="dot" w:pos="8834"/>
        </w:tabs>
        <w:snapToGrid w:val="0"/>
        <w:spacing w:line="560" w:lineRule="exact"/>
      </w:pPr>
      <w:r>
        <w:fldChar w:fldCharType="begin"/>
      </w:r>
      <w:r>
        <w:instrText xml:space="preserve"> HYPERLINK \l "_Toc70495067" </w:instrText>
      </w:r>
      <w:r>
        <w:fldChar w:fldCharType="separate"/>
      </w:r>
      <w:r>
        <w:rPr>
          <w:rStyle w:val="13"/>
          <w:rFonts w:hint="eastAsia" w:ascii="黑体" w:hAnsi="黑体" w:eastAsia="黑体"/>
          <w:color w:val="auto"/>
          <w:sz w:val="24"/>
          <w:szCs w:val="24"/>
        </w:rPr>
        <w:t>二、不得报考或取消报考（聘用）资格的情形</w:t>
      </w:r>
      <w:r>
        <w:tab/>
      </w:r>
      <w:r>
        <w:fldChar w:fldCharType="begin"/>
      </w:r>
      <w:r>
        <w:instrText xml:space="preserve"> PAGEREF _Toc70495067 \h </w:instrText>
      </w:r>
      <w:r>
        <w:fldChar w:fldCharType="separate"/>
      </w:r>
      <w:r>
        <w:t>1</w:t>
      </w:r>
      <w:r>
        <w:fldChar w:fldCharType="end"/>
      </w:r>
      <w:r>
        <w:fldChar w:fldCharType="end"/>
      </w:r>
    </w:p>
    <w:p>
      <w:pPr>
        <w:pStyle w:val="7"/>
        <w:shd w:val="clear"/>
        <w:tabs>
          <w:tab w:val="right" w:leader="dot" w:pos="8834"/>
        </w:tabs>
        <w:snapToGrid w:val="0"/>
        <w:spacing w:line="560" w:lineRule="exact"/>
      </w:pPr>
      <w:r>
        <w:fldChar w:fldCharType="begin"/>
      </w:r>
      <w:r>
        <w:instrText xml:space="preserve"> HYPERLINK \l "_Toc70495068" </w:instrText>
      </w:r>
      <w:r>
        <w:fldChar w:fldCharType="separate"/>
      </w:r>
      <w:r>
        <w:rPr>
          <w:rStyle w:val="13"/>
          <w:rFonts w:hint="eastAsia" w:ascii="黑体" w:hAnsi="黑体" w:eastAsia="黑体"/>
          <w:color w:val="auto"/>
          <w:sz w:val="24"/>
          <w:szCs w:val="24"/>
        </w:rPr>
        <w:t>三、选报岗位须知</w:t>
      </w:r>
      <w:r>
        <w:tab/>
      </w:r>
      <w:r>
        <w:fldChar w:fldCharType="begin"/>
      </w:r>
      <w:r>
        <w:instrText xml:space="preserve"> PAGEREF _Toc70495068 \h </w:instrText>
      </w:r>
      <w:r>
        <w:fldChar w:fldCharType="separate"/>
      </w:r>
      <w:r>
        <w:t>1</w:t>
      </w:r>
      <w:r>
        <w:fldChar w:fldCharType="end"/>
      </w:r>
      <w:r>
        <w:fldChar w:fldCharType="end"/>
      </w:r>
    </w:p>
    <w:p>
      <w:pPr>
        <w:pStyle w:val="8"/>
        <w:shd w:val="clear"/>
        <w:tabs>
          <w:tab w:val="right" w:leader="dot" w:pos="8834"/>
        </w:tabs>
        <w:snapToGrid w:val="0"/>
        <w:spacing w:line="560" w:lineRule="exact"/>
        <w:ind w:left="0" w:leftChars="0" w:firstLine="420" w:firstLineChars="200"/>
      </w:pPr>
      <w:r>
        <w:fldChar w:fldCharType="begin"/>
      </w:r>
      <w:r>
        <w:instrText xml:space="preserve"> HYPERLINK \l "_Toc70495069" </w:instrText>
      </w:r>
      <w:r>
        <w:fldChar w:fldCharType="separate"/>
      </w:r>
      <w:r>
        <w:rPr>
          <w:rStyle w:val="13"/>
          <w:rFonts w:hint="eastAsia" w:ascii="楷体" w:hAnsi="楷体" w:eastAsia="楷体"/>
          <w:color w:val="auto"/>
          <w:sz w:val="24"/>
          <w:szCs w:val="24"/>
        </w:rPr>
        <w:t>（一）报考资格条件确认</w:t>
      </w:r>
      <w:r>
        <w:tab/>
      </w:r>
      <w:r>
        <w:fldChar w:fldCharType="begin"/>
      </w:r>
      <w:r>
        <w:instrText xml:space="preserve"> PAGEREF _Toc70495069 \h </w:instrText>
      </w:r>
      <w:r>
        <w:fldChar w:fldCharType="separate"/>
      </w:r>
      <w:r>
        <w:t>2</w:t>
      </w:r>
      <w:r>
        <w:fldChar w:fldCharType="end"/>
      </w:r>
      <w:r>
        <w:fldChar w:fldCharType="end"/>
      </w:r>
    </w:p>
    <w:p>
      <w:pPr>
        <w:pStyle w:val="8"/>
        <w:shd w:val="clear"/>
        <w:tabs>
          <w:tab w:val="right" w:leader="dot" w:pos="8834"/>
        </w:tabs>
        <w:snapToGrid w:val="0"/>
        <w:spacing w:line="560" w:lineRule="exact"/>
        <w:ind w:left="0" w:leftChars="0" w:firstLine="420" w:firstLineChars="200"/>
      </w:pPr>
      <w:r>
        <w:fldChar w:fldCharType="begin"/>
      </w:r>
      <w:r>
        <w:instrText xml:space="preserve"> HYPERLINK \l "_Toc70495070" </w:instrText>
      </w:r>
      <w:r>
        <w:fldChar w:fldCharType="separate"/>
      </w:r>
      <w:r>
        <w:rPr>
          <w:rStyle w:val="13"/>
          <w:rFonts w:hint="eastAsia" w:ascii="楷体" w:hAnsi="楷体" w:eastAsia="楷体"/>
          <w:color w:val="auto"/>
          <w:sz w:val="24"/>
          <w:szCs w:val="24"/>
        </w:rPr>
        <w:t>（二）照片要求</w:t>
      </w:r>
      <w:r>
        <w:tab/>
      </w:r>
      <w:r>
        <w:fldChar w:fldCharType="begin"/>
      </w:r>
      <w:r>
        <w:instrText xml:space="preserve"> PAGEREF _Toc70495070 \h </w:instrText>
      </w:r>
      <w:r>
        <w:fldChar w:fldCharType="separate"/>
      </w:r>
      <w:r>
        <w:t>2</w:t>
      </w:r>
      <w:r>
        <w:fldChar w:fldCharType="end"/>
      </w:r>
      <w:r>
        <w:fldChar w:fldCharType="end"/>
      </w:r>
    </w:p>
    <w:p>
      <w:pPr>
        <w:pStyle w:val="8"/>
        <w:shd w:val="clear"/>
        <w:tabs>
          <w:tab w:val="right" w:leader="dot" w:pos="8834"/>
        </w:tabs>
        <w:snapToGrid w:val="0"/>
        <w:spacing w:line="560" w:lineRule="exact"/>
        <w:ind w:left="0" w:leftChars="0" w:firstLine="420" w:firstLineChars="200"/>
      </w:pPr>
      <w:r>
        <w:fldChar w:fldCharType="begin"/>
      </w:r>
      <w:r>
        <w:instrText xml:space="preserve"> HYPERLINK \l "_Toc70495072" </w:instrText>
      </w:r>
      <w:r>
        <w:fldChar w:fldCharType="separate"/>
      </w:r>
      <w:r>
        <w:rPr>
          <w:rStyle w:val="13"/>
          <w:rFonts w:hint="eastAsia" w:ascii="楷体" w:hAnsi="楷体" w:eastAsia="楷体"/>
          <w:color w:val="auto"/>
          <w:sz w:val="24"/>
          <w:szCs w:val="24"/>
        </w:rPr>
        <w:t>（三）回避情形</w:t>
      </w:r>
      <w:r>
        <w:tab/>
      </w:r>
      <w:r>
        <w:rPr>
          <w:rFonts w:hint="eastAsia"/>
        </w:rPr>
        <w:t>3</w:t>
      </w:r>
      <w:r>
        <w:rPr>
          <w:rFonts w:hint="eastAsia"/>
        </w:rPr>
        <w:fldChar w:fldCharType="end"/>
      </w:r>
    </w:p>
    <w:p>
      <w:pPr>
        <w:pStyle w:val="7"/>
        <w:shd w:val="clear"/>
        <w:tabs>
          <w:tab w:val="right" w:leader="dot" w:pos="8834"/>
        </w:tabs>
        <w:snapToGrid w:val="0"/>
        <w:spacing w:line="560" w:lineRule="exact"/>
      </w:pPr>
      <w:r>
        <w:fldChar w:fldCharType="begin"/>
      </w:r>
      <w:r>
        <w:instrText xml:space="preserve"> HYPERLINK \l "_Toc70495073" </w:instrText>
      </w:r>
      <w:r>
        <w:fldChar w:fldCharType="separate"/>
      </w:r>
      <w:r>
        <w:rPr>
          <w:rStyle w:val="13"/>
          <w:rFonts w:hint="eastAsia" w:ascii="黑体" w:hAnsi="黑体" w:eastAsia="黑体"/>
          <w:color w:val="auto"/>
          <w:sz w:val="24"/>
          <w:szCs w:val="24"/>
        </w:rPr>
        <w:t>四、年龄、资格（历）等的计算办法</w:t>
      </w:r>
      <w:r>
        <w:tab/>
      </w:r>
      <w:r>
        <w:rPr>
          <w:rFonts w:hint="eastAsia"/>
        </w:rPr>
        <w:t>4</w:t>
      </w:r>
      <w:r>
        <w:rPr>
          <w:rFonts w:hint="eastAsia"/>
        </w:rPr>
        <w:fldChar w:fldCharType="end"/>
      </w:r>
    </w:p>
    <w:p>
      <w:pPr>
        <w:pStyle w:val="8"/>
        <w:shd w:val="clear"/>
        <w:tabs>
          <w:tab w:val="right" w:leader="dot" w:pos="8834"/>
        </w:tabs>
        <w:snapToGrid w:val="0"/>
        <w:spacing w:line="560" w:lineRule="exact"/>
        <w:ind w:left="0" w:leftChars="0" w:firstLine="420" w:firstLineChars="200"/>
        <w:rPr>
          <w:rStyle w:val="13"/>
          <w:rFonts w:ascii="楷体" w:hAnsi="楷体" w:eastAsia="楷体"/>
          <w:color w:val="auto"/>
          <w:szCs w:val="21"/>
        </w:rPr>
      </w:pPr>
      <w:r>
        <w:fldChar w:fldCharType="begin"/>
      </w:r>
      <w:r>
        <w:instrText xml:space="preserve"> HYPERLINK \l "_Toc22003" </w:instrText>
      </w:r>
      <w:r>
        <w:fldChar w:fldCharType="separate"/>
      </w:r>
      <w:r>
        <w:rPr>
          <w:rStyle w:val="13"/>
          <w:rFonts w:hint="eastAsia" w:ascii="楷体" w:hAnsi="楷体" w:eastAsia="楷体"/>
          <w:color w:val="auto"/>
          <w:sz w:val="24"/>
          <w:szCs w:val="24"/>
        </w:rPr>
        <w:t>（一）年龄</w:t>
      </w:r>
      <w:r>
        <w:rPr>
          <w:rStyle w:val="13"/>
          <w:rFonts w:hint="eastAsia" w:ascii="楷体" w:hAnsi="楷体" w:eastAsia="楷体"/>
          <w:color w:val="auto"/>
          <w:szCs w:val="21"/>
        </w:rPr>
        <w:tab/>
      </w:r>
      <w:r>
        <w:rPr>
          <w:rStyle w:val="13"/>
          <w:rFonts w:hint="eastAsia" w:hAnsi="楷体" w:eastAsia="楷体" w:asciiTheme="minorHAnsi"/>
          <w:color w:val="auto"/>
          <w:szCs w:val="21"/>
          <w:lang w:val="en-US" w:eastAsia="zh-CN"/>
        </w:rPr>
        <w:t>4</w:t>
      </w:r>
      <w:r>
        <w:rPr>
          <w:rStyle w:val="13"/>
          <w:rFonts w:hint="eastAsia" w:hAnsi="楷体" w:eastAsia="楷体" w:asciiTheme="minorHAnsi"/>
          <w:color w:val="auto"/>
          <w:szCs w:val="21"/>
        </w:rPr>
        <w:fldChar w:fldCharType="end"/>
      </w:r>
    </w:p>
    <w:p>
      <w:pPr>
        <w:pStyle w:val="8"/>
        <w:shd w:val="clear"/>
        <w:tabs>
          <w:tab w:val="right" w:leader="dot" w:pos="8834"/>
        </w:tabs>
        <w:snapToGrid w:val="0"/>
        <w:spacing w:line="560" w:lineRule="exact"/>
        <w:ind w:left="0" w:leftChars="0" w:firstLine="420" w:firstLineChars="200"/>
        <w:rPr>
          <w:sz w:val="24"/>
          <w:szCs w:val="24"/>
        </w:rPr>
      </w:pPr>
      <w:r>
        <w:fldChar w:fldCharType="begin"/>
      </w:r>
      <w:r>
        <w:instrText xml:space="preserve"> HYPERLINK \l "_Toc28438" </w:instrText>
      </w:r>
      <w:r>
        <w:fldChar w:fldCharType="separate"/>
      </w:r>
      <w:r>
        <w:rPr>
          <w:rStyle w:val="13"/>
          <w:rFonts w:hint="eastAsia" w:ascii="楷体" w:hAnsi="楷体" w:eastAsia="楷体"/>
          <w:color w:val="auto"/>
          <w:sz w:val="24"/>
          <w:szCs w:val="24"/>
        </w:rPr>
        <w:t>（二）资格（历）等</w:t>
      </w:r>
      <w:r>
        <w:rPr>
          <w:rStyle w:val="13"/>
          <w:rFonts w:hint="eastAsia" w:ascii="楷体" w:hAnsi="楷体" w:eastAsia="楷体"/>
          <w:color w:val="auto"/>
          <w:szCs w:val="21"/>
        </w:rPr>
        <w:tab/>
      </w:r>
      <w:r>
        <w:rPr>
          <w:rStyle w:val="13"/>
          <w:rFonts w:hint="eastAsia" w:hAnsi="楷体" w:eastAsia="楷体" w:asciiTheme="minorHAnsi"/>
          <w:color w:val="auto"/>
          <w:szCs w:val="21"/>
        </w:rPr>
        <w:t>5</w:t>
      </w:r>
      <w:r>
        <w:rPr>
          <w:rStyle w:val="13"/>
          <w:rFonts w:hint="eastAsia" w:hAnsi="楷体" w:eastAsia="楷体" w:asciiTheme="minorHAnsi"/>
          <w:color w:val="auto"/>
          <w:szCs w:val="21"/>
        </w:rPr>
        <w:fldChar w:fldCharType="end"/>
      </w:r>
    </w:p>
    <w:p>
      <w:pPr>
        <w:pStyle w:val="7"/>
        <w:shd w:val="clear"/>
        <w:tabs>
          <w:tab w:val="right" w:leader="dot" w:pos="8834"/>
        </w:tabs>
        <w:snapToGrid w:val="0"/>
        <w:spacing w:line="560" w:lineRule="exact"/>
      </w:pPr>
      <w:r>
        <w:fldChar w:fldCharType="begin"/>
      </w:r>
      <w:r>
        <w:instrText xml:space="preserve"> HYPERLINK \l "_Toc70495074" </w:instrText>
      </w:r>
      <w:r>
        <w:fldChar w:fldCharType="separate"/>
      </w:r>
      <w:r>
        <w:rPr>
          <w:rStyle w:val="13"/>
          <w:rFonts w:hint="eastAsia" w:ascii="黑体" w:hAnsi="黑体" w:eastAsia="黑体"/>
          <w:color w:val="auto"/>
          <w:sz w:val="24"/>
          <w:szCs w:val="24"/>
        </w:rPr>
        <w:t>五、学历（位）认定</w:t>
      </w:r>
      <w:r>
        <w:tab/>
      </w:r>
      <w:r>
        <w:rPr>
          <w:rFonts w:hint="eastAsia"/>
        </w:rPr>
        <w:t>5</w:t>
      </w:r>
      <w:r>
        <w:rPr>
          <w:rFonts w:hint="eastAsia"/>
        </w:rPr>
        <w:fldChar w:fldCharType="end"/>
      </w:r>
    </w:p>
    <w:p>
      <w:pPr>
        <w:pStyle w:val="8"/>
        <w:shd w:val="clear"/>
        <w:tabs>
          <w:tab w:val="right" w:leader="dot" w:pos="8834"/>
        </w:tabs>
        <w:snapToGrid w:val="0"/>
        <w:spacing w:line="560" w:lineRule="exact"/>
        <w:ind w:left="0" w:leftChars="0" w:firstLine="420" w:firstLineChars="200"/>
      </w:pPr>
      <w:r>
        <w:fldChar w:fldCharType="begin"/>
      </w:r>
      <w:r>
        <w:instrText xml:space="preserve"> HYPERLINK \l "_Toc70495076" </w:instrText>
      </w:r>
      <w:r>
        <w:fldChar w:fldCharType="separate"/>
      </w:r>
      <w:r>
        <w:rPr>
          <w:rStyle w:val="13"/>
          <w:rFonts w:hint="eastAsia" w:ascii="楷体" w:hAnsi="楷体" w:eastAsia="楷体"/>
          <w:color w:val="auto"/>
          <w:sz w:val="24"/>
          <w:szCs w:val="24"/>
        </w:rPr>
        <w:t>（一）境内学历（位）</w:t>
      </w:r>
      <w:r>
        <w:tab/>
      </w:r>
      <w:r>
        <w:rPr>
          <w:rFonts w:hint="eastAsia"/>
        </w:rPr>
        <w:t>5</w:t>
      </w:r>
      <w:r>
        <w:rPr>
          <w:rFonts w:hint="eastAsia"/>
        </w:rPr>
        <w:fldChar w:fldCharType="end"/>
      </w:r>
    </w:p>
    <w:p>
      <w:pPr>
        <w:pStyle w:val="8"/>
        <w:shd w:val="clear"/>
        <w:tabs>
          <w:tab w:val="right" w:leader="dot" w:pos="8834"/>
        </w:tabs>
        <w:snapToGrid w:val="0"/>
        <w:spacing w:line="560" w:lineRule="exact"/>
        <w:ind w:left="0" w:leftChars="0" w:firstLine="420" w:firstLineChars="200"/>
        <w:rPr>
          <w:rStyle w:val="13"/>
          <w:rFonts w:ascii="楷体" w:hAnsi="楷体"/>
          <w:color w:val="auto"/>
          <w:sz w:val="24"/>
          <w:szCs w:val="24"/>
        </w:rPr>
      </w:pPr>
      <w:r>
        <w:fldChar w:fldCharType="begin"/>
      </w:r>
      <w:r>
        <w:instrText xml:space="preserve"> HYPERLINK \l "_Toc70495077"</w:instrText>
      </w:r>
      <w:r>
        <w:fldChar w:fldCharType="separate"/>
      </w:r>
      <w:r>
        <w:rPr>
          <w:rStyle w:val="13"/>
          <w:rFonts w:hint="eastAsia" w:ascii="楷体" w:hAnsi="楷体" w:eastAsia="楷体"/>
          <w:color w:val="auto"/>
          <w:sz w:val="24"/>
          <w:szCs w:val="24"/>
        </w:rPr>
        <w:t>（二）第二学士学位</w:t>
      </w:r>
      <w:r>
        <w:tab/>
      </w:r>
      <w:r>
        <w:rPr>
          <w:rFonts w:hint="eastAsia"/>
        </w:rPr>
        <w:t>5</w:t>
      </w:r>
    </w:p>
    <w:p>
      <w:pPr>
        <w:pStyle w:val="8"/>
        <w:shd w:val="clear"/>
        <w:tabs>
          <w:tab w:val="right" w:leader="dot" w:pos="8834"/>
        </w:tabs>
        <w:snapToGrid w:val="0"/>
        <w:spacing w:line="560" w:lineRule="exact"/>
        <w:ind w:left="0" w:leftChars="0" w:firstLine="480" w:firstLineChars="200"/>
      </w:pPr>
      <w:r>
        <w:rPr>
          <w:rStyle w:val="13"/>
          <w:rFonts w:hint="eastAsia" w:ascii="楷体" w:hAnsi="楷体" w:eastAsia="楷体"/>
          <w:color w:val="auto"/>
          <w:sz w:val="24"/>
          <w:szCs w:val="24"/>
        </w:rPr>
        <w:t>（三）境外学历（位）</w:t>
      </w:r>
      <w:r>
        <w:tab/>
      </w:r>
      <w:r>
        <w:rPr>
          <w:rFonts w:hint="eastAsia"/>
        </w:rPr>
        <w:t>5</w:t>
      </w:r>
      <w:r>
        <w:fldChar w:fldCharType="end"/>
      </w:r>
    </w:p>
    <w:p>
      <w:pPr>
        <w:pStyle w:val="7"/>
        <w:shd w:val="clear"/>
        <w:tabs>
          <w:tab w:val="right" w:leader="dot" w:pos="8834"/>
        </w:tabs>
        <w:snapToGrid w:val="0"/>
        <w:spacing w:line="560" w:lineRule="exact"/>
        <w:ind w:firstLine="420" w:firstLineChars="200"/>
      </w:pPr>
      <w:r>
        <w:fldChar w:fldCharType="begin"/>
      </w:r>
      <w:r>
        <w:instrText xml:space="preserve"> HYPERLINK \l "_Toc70495078" </w:instrText>
      </w:r>
      <w:r>
        <w:fldChar w:fldCharType="separate"/>
      </w:r>
      <w:r>
        <w:rPr>
          <w:rStyle w:val="13"/>
          <w:rFonts w:hint="eastAsia" w:ascii="楷体" w:hAnsi="楷体" w:eastAsia="楷体"/>
          <w:color w:val="auto"/>
          <w:sz w:val="24"/>
          <w:szCs w:val="24"/>
        </w:rPr>
        <w:t>（四）我省“双学位”“双专业”学历</w:t>
      </w:r>
      <w:r>
        <w:tab/>
      </w:r>
      <w:r>
        <w:rPr>
          <w:rFonts w:hint="eastAsia"/>
        </w:rPr>
        <w:t>6</w:t>
      </w:r>
      <w:r>
        <w:rPr>
          <w:rFonts w:hint="eastAsia"/>
        </w:rPr>
        <w:fldChar w:fldCharType="end"/>
      </w:r>
    </w:p>
    <w:p>
      <w:pPr>
        <w:pStyle w:val="7"/>
        <w:shd w:val="clear"/>
        <w:tabs>
          <w:tab w:val="right" w:leader="dot" w:pos="8834"/>
        </w:tabs>
        <w:snapToGrid w:val="0"/>
        <w:spacing w:line="560" w:lineRule="exact"/>
        <w:ind w:firstLine="420" w:firstLineChars="200"/>
      </w:pPr>
      <w:r>
        <w:fldChar w:fldCharType="begin"/>
      </w:r>
      <w:r>
        <w:instrText xml:space="preserve"> HYPERLINK \l "_Toc70495078" </w:instrText>
      </w:r>
      <w:r>
        <w:fldChar w:fldCharType="separate"/>
      </w:r>
      <w:r>
        <w:rPr>
          <w:rStyle w:val="13"/>
          <w:rFonts w:hint="eastAsia" w:ascii="楷体" w:hAnsi="楷体" w:eastAsia="楷体"/>
          <w:color w:val="auto"/>
          <w:sz w:val="24"/>
          <w:szCs w:val="24"/>
        </w:rPr>
        <w:t>（五）提醒事项</w:t>
      </w:r>
      <w:r>
        <w:tab/>
      </w:r>
      <w:r>
        <w:rPr>
          <w:rFonts w:hint="eastAsia"/>
        </w:rPr>
        <w:t>6</w:t>
      </w:r>
      <w:r>
        <w:rPr>
          <w:rFonts w:hint="eastAsia"/>
        </w:rPr>
        <w:fldChar w:fldCharType="end"/>
      </w:r>
    </w:p>
    <w:p>
      <w:pPr>
        <w:pStyle w:val="7"/>
        <w:shd w:val="clear"/>
        <w:tabs>
          <w:tab w:val="right" w:leader="dot" w:pos="8834"/>
        </w:tabs>
        <w:snapToGrid w:val="0"/>
        <w:spacing w:line="560" w:lineRule="exact"/>
      </w:pPr>
      <w:r>
        <w:fldChar w:fldCharType="begin"/>
      </w:r>
      <w:r>
        <w:instrText xml:space="preserve"> HYPERLINK \l "_Toc70495075" </w:instrText>
      </w:r>
      <w:r>
        <w:fldChar w:fldCharType="separate"/>
      </w:r>
      <w:r>
        <w:rPr>
          <w:rStyle w:val="13"/>
          <w:rFonts w:hint="eastAsia" w:ascii="黑体" w:hAnsi="黑体" w:eastAsia="黑体"/>
          <w:color w:val="auto"/>
          <w:sz w:val="24"/>
          <w:szCs w:val="24"/>
        </w:rPr>
        <w:t>六、专业</w:t>
      </w:r>
      <w:r>
        <w:tab/>
      </w:r>
      <w:r>
        <w:rPr>
          <w:rFonts w:hint="eastAsia"/>
        </w:rPr>
        <w:t>6</w:t>
      </w:r>
      <w:r>
        <w:rPr>
          <w:rFonts w:hint="eastAsia"/>
        </w:rPr>
        <w:fldChar w:fldCharType="end"/>
      </w:r>
    </w:p>
    <w:p>
      <w:pPr>
        <w:pStyle w:val="8"/>
        <w:shd w:val="clear"/>
        <w:tabs>
          <w:tab w:val="right" w:leader="dot" w:pos="8834"/>
        </w:tabs>
        <w:snapToGrid w:val="0"/>
        <w:spacing w:line="560" w:lineRule="exact"/>
        <w:ind w:left="0" w:leftChars="0" w:firstLine="420" w:firstLineChars="200"/>
      </w:pPr>
      <w:r>
        <w:fldChar w:fldCharType="begin"/>
      </w:r>
      <w:r>
        <w:instrText xml:space="preserve"> HYPERLINK \l "_Toc70495076" </w:instrText>
      </w:r>
      <w:r>
        <w:fldChar w:fldCharType="separate"/>
      </w:r>
      <w:r>
        <w:rPr>
          <w:rStyle w:val="13"/>
          <w:rFonts w:hint="eastAsia" w:ascii="楷体" w:hAnsi="楷体" w:eastAsia="楷体"/>
          <w:color w:val="auto"/>
          <w:sz w:val="24"/>
          <w:szCs w:val="24"/>
        </w:rPr>
        <w:t>（一）填报专业名称</w:t>
      </w:r>
      <w:r>
        <w:tab/>
      </w:r>
      <w:r>
        <w:rPr>
          <w:rFonts w:hint="eastAsia"/>
          <w:lang w:val="en-US" w:eastAsia="zh-CN"/>
        </w:rPr>
        <w:t>6</w:t>
      </w:r>
      <w:r>
        <w:rPr>
          <w:rFonts w:hint="eastAsia"/>
        </w:rPr>
        <w:t xml:space="preserve">  </w:t>
      </w:r>
      <w:r>
        <w:rPr>
          <w:rFonts w:hint="eastAsia"/>
        </w:rPr>
        <w:fldChar w:fldCharType="end"/>
      </w:r>
    </w:p>
    <w:p>
      <w:pPr>
        <w:pStyle w:val="8"/>
        <w:shd w:val="clear"/>
        <w:tabs>
          <w:tab w:val="right" w:leader="dot" w:pos="8834"/>
        </w:tabs>
        <w:snapToGrid w:val="0"/>
        <w:spacing w:line="560" w:lineRule="exact"/>
        <w:ind w:left="0" w:leftChars="0" w:firstLine="420" w:firstLineChars="200"/>
      </w:pPr>
      <w:r>
        <w:fldChar w:fldCharType="begin"/>
      </w:r>
      <w:r>
        <w:instrText xml:space="preserve"> HYPERLINK \l "_Toc70495077" </w:instrText>
      </w:r>
      <w:r>
        <w:fldChar w:fldCharType="separate"/>
      </w:r>
      <w:r>
        <w:rPr>
          <w:rStyle w:val="13"/>
          <w:rFonts w:hint="eastAsia" w:ascii="楷体" w:hAnsi="楷体" w:eastAsia="楷体"/>
          <w:color w:val="auto"/>
          <w:sz w:val="24"/>
          <w:szCs w:val="24"/>
        </w:rPr>
        <w:t>（二）专业与学历（位）的对应关系</w:t>
      </w:r>
      <w:r>
        <w:tab/>
      </w:r>
      <w:r>
        <w:rPr>
          <w:rFonts w:hint="eastAsia"/>
        </w:rPr>
        <w:t>7</w:t>
      </w:r>
      <w:r>
        <w:rPr>
          <w:rFonts w:hint="eastAsia"/>
        </w:rPr>
        <w:fldChar w:fldCharType="end"/>
      </w:r>
    </w:p>
    <w:p>
      <w:pPr>
        <w:pStyle w:val="8"/>
        <w:shd w:val="clear"/>
        <w:tabs>
          <w:tab w:val="right" w:leader="dot" w:pos="8834"/>
        </w:tabs>
        <w:snapToGrid w:val="0"/>
        <w:spacing w:line="560" w:lineRule="exact"/>
        <w:ind w:left="0" w:leftChars="0" w:firstLine="420" w:firstLineChars="200"/>
      </w:pPr>
      <w:r>
        <w:fldChar w:fldCharType="begin"/>
      </w:r>
      <w:r>
        <w:instrText xml:space="preserve"> HYPERLINK \l "_Toc70495078" </w:instrText>
      </w:r>
      <w:r>
        <w:fldChar w:fldCharType="separate"/>
      </w:r>
      <w:r>
        <w:rPr>
          <w:rStyle w:val="13"/>
          <w:rFonts w:hint="eastAsia" w:ascii="楷体" w:hAnsi="楷体" w:eastAsia="楷体"/>
          <w:color w:val="auto"/>
          <w:sz w:val="24"/>
          <w:szCs w:val="24"/>
        </w:rPr>
        <w:t>（三）专业资格的认定</w:t>
      </w:r>
      <w:r>
        <w:tab/>
      </w:r>
      <w:r>
        <w:rPr>
          <w:rFonts w:hint="eastAsia"/>
        </w:rPr>
        <w:t>8</w:t>
      </w:r>
      <w:r>
        <w:rPr>
          <w:rFonts w:hint="eastAsia"/>
        </w:rPr>
        <w:fldChar w:fldCharType="end"/>
      </w:r>
    </w:p>
    <w:p>
      <w:pPr>
        <w:pStyle w:val="7"/>
        <w:shd w:val="clear"/>
        <w:tabs>
          <w:tab w:val="right" w:leader="dot" w:pos="8834"/>
        </w:tabs>
        <w:snapToGrid w:val="0"/>
        <w:spacing w:line="560" w:lineRule="exact"/>
      </w:pPr>
      <w:r>
        <w:fldChar w:fldCharType="begin"/>
      </w:r>
      <w:r>
        <w:instrText xml:space="preserve"> HYPERLINK \l "_Toc70495079" </w:instrText>
      </w:r>
      <w:r>
        <w:fldChar w:fldCharType="separate"/>
      </w:r>
      <w:r>
        <w:rPr>
          <w:rStyle w:val="13"/>
          <w:rFonts w:hint="eastAsia" w:ascii="黑体" w:hAnsi="黑体" w:eastAsia="黑体"/>
          <w:color w:val="auto"/>
          <w:sz w:val="24"/>
          <w:szCs w:val="24"/>
        </w:rPr>
        <w:t>七、工作经验</w:t>
      </w:r>
      <w:r>
        <w:tab/>
      </w:r>
      <w:r>
        <w:rPr>
          <w:rFonts w:hint="eastAsia"/>
          <w:lang w:val="en-US" w:eastAsia="zh-CN"/>
        </w:rPr>
        <w:t>8</w:t>
      </w:r>
      <w:r>
        <w:fldChar w:fldCharType="end"/>
      </w:r>
    </w:p>
    <w:p>
      <w:pPr>
        <w:pStyle w:val="7"/>
        <w:shd w:val="clear"/>
        <w:tabs>
          <w:tab w:val="right" w:leader="dot" w:pos="8834"/>
        </w:tabs>
        <w:snapToGrid w:val="0"/>
        <w:spacing w:line="560" w:lineRule="exact"/>
      </w:pPr>
      <w:r>
        <w:fldChar w:fldCharType="begin"/>
      </w:r>
      <w:r>
        <w:instrText xml:space="preserve"> HYPERLINK \l "_Toc70495080" </w:instrText>
      </w:r>
      <w:r>
        <w:fldChar w:fldCharType="separate"/>
      </w:r>
      <w:r>
        <w:rPr>
          <w:rStyle w:val="13"/>
          <w:rFonts w:hint="eastAsia" w:ascii="黑体" w:hAnsi="黑体" w:eastAsia="黑体"/>
          <w:color w:val="auto"/>
          <w:sz w:val="24"/>
          <w:szCs w:val="24"/>
        </w:rPr>
        <w:t>八、可免笔试情形</w:t>
      </w:r>
      <w:r>
        <w:tab/>
      </w:r>
      <w:r>
        <w:rPr>
          <w:rFonts w:hint="eastAsia"/>
        </w:rPr>
        <w:t>9</w:t>
      </w:r>
      <w:r>
        <w:rPr>
          <w:rFonts w:hint="eastAsia"/>
        </w:rPr>
        <w:fldChar w:fldCharType="end"/>
      </w:r>
    </w:p>
    <w:p>
      <w:pPr>
        <w:pStyle w:val="7"/>
        <w:shd w:val="clear"/>
        <w:tabs>
          <w:tab w:val="right" w:leader="dot" w:pos="8834"/>
        </w:tabs>
        <w:snapToGrid w:val="0"/>
        <w:spacing w:line="560" w:lineRule="exact"/>
      </w:pPr>
      <w:r>
        <w:fldChar w:fldCharType="begin"/>
      </w:r>
      <w:r>
        <w:instrText xml:space="preserve"> HYPERLINK \l "_Toc70495080" </w:instrText>
      </w:r>
      <w:r>
        <w:fldChar w:fldCharType="separate"/>
      </w:r>
      <w:r>
        <w:rPr>
          <w:rStyle w:val="13"/>
          <w:rFonts w:hint="eastAsia" w:ascii="黑体" w:hAnsi="黑体" w:eastAsia="黑体"/>
          <w:color w:val="auto"/>
          <w:sz w:val="24"/>
          <w:szCs w:val="24"/>
        </w:rPr>
        <w:t>九、岗位开考比例</w:t>
      </w:r>
      <w:r>
        <w:tab/>
      </w:r>
      <w:r>
        <w:rPr>
          <w:rFonts w:hint="eastAsia"/>
          <w:lang w:val="en-US" w:eastAsia="zh-CN"/>
        </w:rPr>
        <w:t>9</w:t>
      </w:r>
      <w:r>
        <w:rPr>
          <w:rFonts w:hint="eastAsia"/>
        </w:rPr>
        <w:fldChar w:fldCharType="end"/>
      </w:r>
    </w:p>
    <w:p>
      <w:pPr>
        <w:pStyle w:val="7"/>
        <w:shd w:val="clear"/>
        <w:tabs>
          <w:tab w:val="right" w:leader="dot" w:pos="8834"/>
        </w:tabs>
        <w:snapToGrid w:val="0"/>
        <w:spacing w:line="560" w:lineRule="exact"/>
      </w:pPr>
      <w:r>
        <w:fldChar w:fldCharType="begin"/>
      </w:r>
      <w:r>
        <w:instrText xml:space="preserve"> HYPERLINK \l "_Toc70495084" </w:instrText>
      </w:r>
      <w:r>
        <w:fldChar w:fldCharType="separate"/>
      </w:r>
      <w:r>
        <w:rPr>
          <w:rStyle w:val="13"/>
          <w:rFonts w:hint="eastAsia" w:ascii="黑体" w:hAnsi="黑体" w:eastAsia="黑体"/>
          <w:color w:val="auto"/>
          <w:sz w:val="24"/>
          <w:szCs w:val="24"/>
        </w:rPr>
        <w:t>十、笔试加分</w:t>
      </w:r>
      <w:r>
        <w:tab/>
      </w:r>
      <w:r>
        <w:fldChar w:fldCharType="begin"/>
      </w:r>
      <w:r>
        <w:instrText xml:space="preserve"> PAGEREF _Toc70495084 \h </w:instrText>
      </w:r>
      <w:r>
        <w:fldChar w:fldCharType="separate"/>
      </w:r>
      <w:r>
        <w:t>10</w:t>
      </w:r>
      <w:r>
        <w:fldChar w:fldCharType="end"/>
      </w:r>
      <w:r>
        <w:fldChar w:fldCharType="end"/>
      </w:r>
    </w:p>
    <w:p>
      <w:pPr>
        <w:pStyle w:val="8"/>
        <w:shd w:val="clear"/>
        <w:tabs>
          <w:tab w:val="right" w:leader="dot" w:pos="8834"/>
        </w:tabs>
        <w:snapToGrid w:val="0"/>
        <w:spacing w:line="560" w:lineRule="exact"/>
        <w:ind w:left="0" w:leftChars="0" w:firstLine="420" w:firstLineChars="200"/>
      </w:pPr>
      <w:r>
        <w:fldChar w:fldCharType="begin"/>
      </w:r>
      <w:r>
        <w:instrText xml:space="preserve"> HYPERLINK \l "_Toc70495085" </w:instrText>
      </w:r>
      <w:r>
        <w:fldChar w:fldCharType="separate"/>
      </w:r>
      <w:r>
        <w:rPr>
          <w:rStyle w:val="13"/>
          <w:rFonts w:hint="eastAsia" w:ascii="楷体" w:hAnsi="楷体" w:eastAsia="楷体"/>
          <w:color w:val="auto"/>
          <w:sz w:val="24"/>
          <w:szCs w:val="24"/>
        </w:rPr>
        <w:t>（一）加分原则</w:t>
      </w:r>
      <w:r>
        <w:tab/>
      </w:r>
      <w:r>
        <w:fldChar w:fldCharType="begin"/>
      </w:r>
      <w:r>
        <w:instrText xml:space="preserve"> PAGEREF _Toc70495085 \h </w:instrText>
      </w:r>
      <w:r>
        <w:fldChar w:fldCharType="separate"/>
      </w:r>
      <w:r>
        <w:t>10</w:t>
      </w:r>
      <w:r>
        <w:fldChar w:fldCharType="end"/>
      </w:r>
      <w:r>
        <w:fldChar w:fldCharType="end"/>
      </w:r>
    </w:p>
    <w:p>
      <w:pPr>
        <w:pStyle w:val="8"/>
        <w:shd w:val="clear"/>
        <w:tabs>
          <w:tab w:val="right" w:leader="dot" w:pos="8834"/>
        </w:tabs>
        <w:snapToGrid w:val="0"/>
        <w:spacing w:line="560" w:lineRule="exact"/>
        <w:ind w:left="0" w:leftChars="0" w:firstLine="420" w:firstLineChars="200"/>
      </w:pPr>
      <w:r>
        <w:fldChar w:fldCharType="begin"/>
      </w:r>
      <w:r>
        <w:instrText xml:space="preserve"> HYPERLINK \l "_Toc70495086" </w:instrText>
      </w:r>
      <w:r>
        <w:fldChar w:fldCharType="separate"/>
      </w:r>
      <w:r>
        <w:rPr>
          <w:rStyle w:val="13"/>
          <w:rFonts w:hint="eastAsia" w:ascii="楷体" w:hAnsi="楷体" w:eastAsia="楷体"/>
          <w:color w:val="auto"/>
          <w:sz w:val="24"/>
          <w:szCs w:val="24"/>
        </w:rPr>
        <w:t>（二）加分对象</w:t>
      </w:r>
      <w:r>
        <w:tab/>
      </w:r>
      <w:r>
        <w:fldChar w:fldCharType="begin"/>
      </w:r>
      <w:r>
        <w:instrText xml:space="preserve"> PAGEREF _Toc70495086 \h </w:instrText>
      </w:r>
      <w:r>
        <w:fldChar w:fldCharType="separate"/>
      </w:r>
      <w:r>
        <w:t>10</w:t>
      </w:r>
      <w:r>
        <w:fldChar w:fldCharType="end"/>
      </w:r>
      <w:r>
        <w:fldChar w:fldCharType="end"/>
      </w:r>
    </w:p>
    <w:p>
      <w:pPr>
        <w:pStyle w:val="8"/>
        <w:shd w:val="clear"/>
        <w:tabs>
          <w:tab w:val="right" w:leader="dot" w:pos="8834"/>
        </w:tabs>
        <w:snapToGrid w:val="0"/>
        <w:spacing w:line="560" w:lineRule="exact"/>
        <w:ind w:left="0" w:leftChars="0" w:firstLine="420" w:firstLineChars="200"/>
      </w:pPr>
      <w:r>
        <w:fldChar w:fldCharType="begin"/>
      </w:r>
      <w:r>
        <w:instrText xml:space="preserve"> HYPERLINK \l "_Toc70495087" </w:instrText>
      </w:r>
      <w:r>
        <w:fldChar w:fldCharType="separate"/>
      </w:r>
      <w:r>
        <w:rPr>
          <w:rStyle w:val="13"/>
          <w:rFonts w:ascii="楷体" w:hAnsi="楷体" w:eastAsia="楷体"/>
          <w:color w:val="auto"/>
          <w:sz w:val="24"/>
          <w:szCs w:val="24"/>
        </w:rPr>
        <w:t>1.</w:t>
      </w:r>
      <w:r>
        <w:rPr>
          <w:rStyle w:val="13"/>
          <w:rFonts w:hint="eastAsia" w:ascii="楷体" w:hAnsi="楷体" w:eastAsia="楷体"/>
          <w:color w:val="auto"/>
          <w:sz w:val="24"/>
          <w:szCs w:val="24"/>
        </w:rPr>
        <w:t>服务基层项目高校毕业人员</w:t>
      </w:r>
      <w:r>
        <w:tab/>
      </w:r>
      <w:r>
        <w:rPr>
          <w:rFonts w:hint="eastAsia"/>
        </w:rPr>
        <w:t>1</w:t>
      </w:r>
      <w:r>
        <w:rPr>
          <w:rFonts w:hint="eastAsia"/>
        </w:rPr>
        <w:fldChar w:fldCharType="end"/>
      </w:r>
      <w:r>
        <w:rPr>
          <w:rFonts w:hint="eastAsia"/>
        </w:rPr>
        <w:t>0</w:t>
      </w:r>
    </w:p>
    <w:p>
      <w:pPr>
        <w:pStyle w:val="8"/>
        <w:shd w:val="clear"/>
        <w:tabs>
          <w:tab w:val="right" w:leader="dot" w:pos="8834"/>
        </w:tabs>
        <w:snapToGrid w:val="0"/>
        <w:spacing w:line="560" w:lineRule="exact"/>
        <w:ind w:left="0" w:leftChars="0" w:firstLine="420" w:firstLineChars="200"/>
      </w:pPr>
      <w:r>
        <w:fldChar w:fldCharType="begin"/>
      </w:r>
      <w:r>
        <w:instrText xml:space="preserve"> HYPERLINK \l "_Toc70495088" </w:instrText>
      </w:r>
      <w:r>
        <w:fldChar w:fldCharType="separate"/>
      </w:r>
      <w:r>
        <w:rPr>
          <w:rStyle w:val="13"/>
          <w:rFonts w:ascii="楷体" w:hAnsi="楷体" w:eastAsia="楷体"/>
          <w:color w:val="auto"/>
          <w:sz w:val="24"/>
          <w:szCs w:val="24"/>
        </w:rPr>
        <w:t>2.</w:t>
      </w:r>
      <w:r>
        <w:rPr>
          <w:rStyle w:val="13"/>
          <w:rFonts w:hint="eastAsia" w:ascii="楷体" w:hAnsi="楷体" w:eastAsia="楷体"/>
          <w:color w:val="auto"/>
          <w:sz w:val="24"/>
          <w:szCs w:val="24"/>
        </w:rPr>
        <w:t>退役士兵（含大学生退役士兵）</w:t>
      </w:r>
      <w:r>
        <w:tab/>
      </w:r>
      <w:r>
        <w:rPr>
          <w:rFonts w:hint="eastAsia"/>
        </w:rPr>
        <w:t>1</w:t>
      </w:r>
      <w:r>
        <w:rPr>
          <w:rFonts w:hint="eastAsia"/>
        </w:rPr>
        <w:fldChar w:fldCharType="end"/>
      </w:r>
      <w:r>
        <w:rPr>
          <w:rFonts w:hint="eastAsia"/>
        </w:rPr>
        <w:t>1</w:t>
      </w:r>
    </w:p>
    <w:p>
      <w:pPr>
        <w:pStyle w:val="8"/>
        <w:shd w:val="clear"/>
        <w:tabs>
          <w:tab w:val="right" w:leader="dot" w:pos="8834"/>
        </w:tabs>
        <w:snapToGrid w:val="0"/>
        <w:spacing w:line="560" w:lineRule="exact"/>
        <w:ind w:left="0" w:leftChars="0" w:firstLine="420" w:firstLineChars="200"/>
        <w:rPr>
          <w:rFonts w:hint="eastAsia" w:eastAsia="宋体"/>
          <w:lang w:eastAsia="zh-CN"/>
        </w:rPr>
      </w:pPr>
      <w:r>
        <w:fldChar w:fldCharType="begin"/>
      </w:r>
      <w:r>
        <w:instrText xml:space="preserve"> HYPERLINK \l "_Toc70495089" </w:instrText>
      </w:r>
      <w:r>
        <w:fldChar w:fldCharType="separate"/>
      </w:r>
      <w:r>
        <w:rPr>
          <w:rStyle w:val="13"/>
          <w:rFonts w:ascii="楷体" w:hAnsi="楷体" w:eastAsia="楷体"/>
          <w:color w:val="auto"/>
          <w:sz w:val="24"/>
          <w:szCs w:val="24"/>
        </w:rPr>
        <w:t>3.</w:t>
      </w:r>
      <w:r>
        <w:rPr>
          <w:rStyle w:val="13"/>
          <w:rFonts w:hint="eastAsia" w:ascii="楷体" w:hAnsi="楷体" w:eastAsia="楷体"/>
          <w:color w:val="auto"/>
          <w:sz w:val="24"/>
          <w:szCs w:val="24"/>
        </w:rPr>
        <w:t>退役优秀运动员</w:t>
      </w:r>
      <w:r>
        <w:tab/>
      </w:r>
      <w:r>
        <w:rPr>
          <w:rFonts w:hint="eastAsia"/>
        </w:rPr>
        <w:t>1</w:t>
      </w:r>
      <w:r>
        <w:rPr>
          <w:rFonts w:hint="eastAsia"/>
        </w:rPr>
        <w:fldChar w:fldCharType="end"/>
      </w:r>
      <w:r>
        <w:rPr>
          <w:rFonts w:hint="eastAsia"/>
          <w:lang w:val="en-US" w:eastAsia="zh-CN"/>
        </w:rPr>
        <w:t>1</w:t>
      </w:r>
    </w:p>
    <w:p>
      <w:pPr>
        <w:pStyle w:val="8"/>
        <w:shd w:val="clear"/>
        <w:tabs>
          <w:tab w:val="right" w:leader="dot" w:pos="8834"/>
        </w:tabs>
        <w:snapToGrid w:val="0"/>
        <w:spacing w:line="560" w:lineRule="exact"/>
        <w:ind w:left="0" w:leftChars="0" w:firstLine="420" w:firstLineChars="200"/>
      </w:pPr>
      <w:r>
        <w:fldChar w:fldCharType="begin"/>
      </w:r>
      <w:r>
        <w:instrText xml:space="preserve"> HYPERLINK \l "_Toc70495090" </w:instrText>
      </w:r>
      <w:r>
        <w:fldChar w:fldCharType="separate"/>
      </w:r>
      <w:r>
        <w:rPr>
          <w:rStyle w:val="13"/>
          <w:rFonts w:hint="eastAsia" w:ascii="楷体" w:hAnsi="楷体" w:eastAsia="楷体"/>
          <w:color w:val="auto"/>
          <w:sz w:val="24"/>
          <w:szCs w:val="24"/>
        </w:rPr>
        <w:t>（三）加分证明材料</w:t>
      </w:r>
      <w:r>
        <w:tab/>
      </w:r>
      <w:r>
        <w:rPr>
          <w:rFonts w:hint="eastAsia"/>
        </w:rPr>
        <w:t>1</w:t>
      </w:r>
      <w:r>
        <w:rPr>
          <w:rFonts w:hint="eastAsia"/>
        </w:rPr>
        <w:fldChar w:fldCharType="end"/>
      </w:r>
      <w:r>
        <w:rPr>
          <w:rFonts w:hint="eastAsia"/>
        </w:rPr>
        <w:t>2</w:t>
      </w:r>
    </w:p>
    <w:p>
      <w:pPr>
        <w:pStyle w:val="7"/>
        <w:shd w:val="clear"/>
        <w:tabs>
          <w:tab w:val="right" w:leader="dot" w:pos="8834"/>
        </w:tabs>
        <w:snapToGrid w:val="0"/>
        <w:spacing w:line="560" w:lineRule="exact"/>
      </w:pPr>
      <w:r>
        <w:fldChar w:fldCharType="begin"/>
      </w:r>
      <w:r>
        <w:instrText xml:space="preserve"> HYPERLINK \l "_Toc70495091" </w:instrText>
      </w:r>
      <w:r>
        <w:fldChar w:fldCharType="separate"/>
      </w:r>
      <w:r>
        <w:rPr>
          <w:rStyle w:val="13"/>
          <w:rFonts w:hint="eastAsia" w:ascii="黑体" w:hAnsi="黑体" w:eastAsia="黑体"/>
          <w:color w:val="auto"/>
          <w:sz w:val="24"/>
          <w:szCs w:val="24"/>
        </w:rPr>
        <w:t>十一、综合总分计算</w:t>
      </w:r>
      <w:r>
        <w:tab/>
      </w:r>
      <w:r>
        <w:fldChar w:fldCharType="begin"/>
      </w:r>
      <w:r>
        <w:instrText xml:space="preserve"> PAGEREF _Toc70495091 \h </w:instrText>
      </w:r>
      <w:r>
        <w:fldChar w:fldCharType="separate"/>
      </w:r>
      <w:r>
        <w:t>1</w:t>
      </w:r>
      <w:r>
        <w:rPr>
          <w:rFonts w:hint="eastAsia"/>
          <w:lang w:val="en-US" w:eastAsia="zh-CN"/>
        </w:rPr>
        <w:t>2</w:t>
      </w:r>
      <w:r>
        <w:fldChar w:fldCharType="end"/>
      </w:r>
      <w:r>
        <w:fldChar w:fldCharType="end"/>
      </w:r>
    </w:p>
    <w:p>
      <w:pPr>
        <w:pStyle w:val="7"/>
        <w:shd w:val="clear"/>
        <w:tabs>
          <w:tab w:val="right" w:leader="dot" w:pos="8834"/>
        </w:tabs>
        <w:snapToGrid w:val="0"/>
        <w:spacing w:line="560" w:lineRule="exact"/>
      </w:pPr>
      <w:r>
        <w:fldChar w:fldCharType="begin"/>
      </w:r>
      <w:r>
        <w:instrText xml:space="preserve"> HYPERLINK \l "_Toc70495092" </w:instrText>
      </w:r>
      <w:r>
        <w:fldChar w:fldCharType="separate"/>
      </w:r>
      <w:r>
        <w:rPr>
          <w:rStyle w:val="13"/>
          <w:rFonts w:hint="eastAsia" w:ascii="黑体" w:hAnsi="黑体" w:eastAsia="黑体"/>
          <w:color w:val="auto"/>
          <w:sz w:val="24"/>
          <w:szCs w:val="24"/>
        </w:rPr>
        <w:t>十二、体检和考察</w:t>
      </w:r>
      <w:r>
        <w:tab/>
      </w:r>
      <w:r>
        <w:fldChar w:fldCharType="begin"/>
      </w:r>
      <w:r>
        <w:instrText xml:space="preserve"> PAGEREF _Toc70495092 \h </w:instrText>
      </w:r>
      <w:r>
        <w:fldChar w:fldCharType="separate"/>
      </w:r>
      <w:r>
        <w:t>13</w:t>
      </w:r>
      <w:r>
        <w:fldChar w:fldCharType="end"/>
      </w:r>
      <w:r>
        <w:fldChar w:fldCharType="end"/>
      </w:r>
    </w:p>
    <w:p>
      <w:pPr>
        <w:pStyle w:val="8"/>
        <w:shd w:val="clear"/>
        <w:tabs>
          <w:tab w:val="right" w:leader="dot" w:pos="8834"/>
        </w:tabs>
        <w:snapToGrid w:val="0"/>
        <w:spacing w:line="560" w:lineRule="exact"/>
        <w:ind w:left="0" w:leftChars="0" w:firstLine="420" w:firstLineChars="200"/>
      </w:pPr>
      <w:r>
        <w:fldChar w:fldCharType="begin"/>
      </w:r>
      <w:r>
        <w:instrText xml:space="preserve"> HYPERLINK \l "_Toc70495093" </w:instrText>
      </w:r>
      <w:r>
        <w:fldChar w:fldCharType="separate"/>
      </w:r>
      <w:r>
        <w:rPr>
          <w:rStyle w:val="13"/>
          <w:rFonts w:hint="eastAsia" w:ascii="楷体" w:hAnsi="楷体" w:eastAsia="楷体"/>
          <w:color w:val="auto"/>
          <w:sz w:val="24"/>
          <w:szCs w:val="24"/>
        </w:rPr>
        <w:t>（一）确定体检人选</w:t>
      </w:r>
      <w:r>
        <w:tab/>
      </w:r>
      <w:r>
        <w:fldChar w:fldCharType="begin"/>
      </w:r>
      <w:r>
        <w:instrText xml:space="preserve"> PAGEREF _Toc70495093 \h </w:instrText>
      </w:r>
      <w:r>
        <w:fldChar w:fldCharType="separate"/>
      </w:r>
      <w:r>
        <w:t>13</w:t>
      </w:r>
      <w:r>
        <w:fldChar w:fldCharType="end"/>
      </w:r>
      <w:r>
        <w:fldChar w:fldCharType="end"/>
      </w:r>
    </w:p>
    <w:p>
      <w:pPr>
        <w:pStyle w:val="8"/>
        <w:shd w:val="clear"/>
        <w:tabs>
          <w:tab w:val="right" w:leader="dot" w:pos="8834"/>
        </w:tabs>
        <w:snapToGrid w:val="0"/>
        <w:spacing w:line="560" w:lineRule="exact"/>
        <w:ind w:left="0" w:leftChars="0" w:firstLine="420" w:firstLineChars="200"/>
      </w:pPr>
      <w:r>
        <w:fldChar w:fldCharType="begin"/>
      </w:r>
      <w:r>
        <w:instrText xml:space="preserve"> HYPERLINK \l "_Toc70495094" </w:instrText>
      </w:r>
      <w:r>
        <w:fldChar w:fldCharType="separate"/>
      </w:r>
      <w:r>
        <w:rPr>
          <w:rStyle w:val="13"/>
          <w:rFonts w:hint="eastAsia" w:ascii="楷体" w:hAnsi="楷体" w:eastAsia="楷体"/>
          <w:color w:val="auto"/>
          <w:sz w:val="24"/>
          <w:szCs w:val="24"/>
        </w:rPr>
        <w:t>（二）组织体检</w:t>
      </w:r>
      <w:r>
        <w:tab/>
      </w:r>
      <w:r>
        <w:fldChar w:fldCharType="begin"/>
      </w:r>
      <w:r>
        <w:instrText xml:space="preserve"> PAGEREF _Toc70495094 \h </w:instrText>
      </w:r>
      <w:r>
        <w:fldChar w:fldCharType="separate"/>
      </w:r>
      <w:r>
        <w:t>14</w:t>
      </w:r>
      <w:r>
        <w:fldChar w:fldCharType="end"/>
      </w:r>
      <w:r>
        <w:fldChar w:fldCharType="end"/>
      </w:r>
    </w:p>
    <w:p>
      <w:pPr>
        <w:pStyle w:val="8"/>
        <w:shd w:val="clear"/>
        <w:tabs>
          <w:tab w:val="right" w:leader="dot" w:pos="8834"/>
        </w:tabs>
        <w:snapToGrid w:val="0"/>
        <w:spacing w:line="560" w:lineRule="exact"/>
        <w:ind w:left="0" w:leftChars="0" w:firstLine="420" w:firstLineChars="200"/>
      </w:pPr>
      <w:r>
        <w:fldChar w:fldCharType="begin"/>
      </w:r>
      <w:r>
        <w:instrText xml:space="preserve"> HYPERLINK \l "_Toc70495095" </w:instrText>
      </w:r>
      <w:r>
        <w:fldChar w:fldCharType="separate"/>
      </w:r>
      <w:r>
        <w:rPr>
          <w:rStyle w:val="13"/>
          <w:rFonts w:hint="eastAsia" w:ascii="楷体" w:hAnsi="楷体" w:eastAsia="楷体"/>
          <w:color w:val="auto"/>
          <w:sz w:val="24"/>
          <w:szCs w:val="24"/>
        </w:rPr>
        <w:t>（三）体检依据</w:t>
      </w:r>
      <w:r>
        <w:tab/>
      </w:r>
      <w:r>
        <w:fldChar w:fldCharType="begin"/>
      </w:r>
      <w:r>
        <w:instrText xml:space="preserve"> PAGEREF _Toc70495095 \h </w:instrText>
      </w:r>
      <w:r>
        <w:fldChar w:fldCharType="separate"/>
      </w:r>
      <w:r>
        <w:t>14</w:t>
      </w:r>
      <w:r>
        <w:fldChar w:fldCharType="end"/>
      </w:r>
      <w:r>
        <w:fldChar w:fldCharType="end"/>
      </w:r>
    </w:p>
    <w:p>
      <w:pPr>
        <w:pStyle w:val="8"/>
        <w:shd w:val="clear"/>
        <w:tabs>
          <w:tab w:val="right" w:leader="dot" w:pos="8834"/>
        </w:tabs>
        <w:snapToGrid w:val="0"/>
        <w:spacing w:line="560" w:lineRule="exact"/>
        <w:ind w:left="0" w:leftChars="0" w:firstLine="420" w:firstLineChars="200"/>
      </w:pPr>
      <w:r>
        <w:fldChar w:fldCharType="begin"/>
      </w:r>
      <w:r>
        <w:instrText xml:space="preserve"> HYPERLINK \l "_Toc70495096" </w:instrText>
      </w:r>
      <w:r>
        <w:fldChar w:fldCharType="separate"/>
      </w:r>
      <w:r>
        <w:rPr>
          <w:rStyle w:val="13"/>
          <w:rFonts w:hint="eastAsia" w:ascii="楷体" w:hAnsi="楷体" w:eastAsia="楷体"/>
          <w:color w:val="auto"/>
          <w:sz w:val="24"/>
          <w:szCs w:val="24"/>
        </w:rPr>
        <w:t>（四）体检复检</w:t>
      </w:r>
      <w:r>
        <w:tab/>
      </w:r>
      <w:r>
        <w:rPr>
          <w:rFonts w:hint="eastAsia"/>
        </w:rPr>
        <w:t>1</w:t>
      </w:r>
      <w:r>
        <w:rPr>
          <w:rFonts w:hint="eastAsia"/>
        </w:rPr>
        <w:fldChar w:fldCharType="end"/>
      </w:r>
      <w:r>
        <w:rPr>
          <w:rFonts w:hint="eastAsia"/>
        </w:rPr>
        <w:t>4</w:t>
      </w:r>
    </w:p>
    <w:p>
      <w:pPr>
        <w:pStyle w:val="8"/>
        <w:shd w:val="clear"/>
        <w:tabs>
          <w:tab w:val="right" w:leader="dot" w:pos="8834"/>
        </w:tabs>
        <w:snapToGrid w:val="0"/>
        <w:spacing w:line="560" w:lineRule="exact"/>
        <w:ind w:left="0" w:leftChars="0" w:firstLine="420" w:firstLineChars="200"/>
      </w:pPr>
      <w:r>
        <w:fldChar w:fldCharType="begin"/>
      </w:r>
      <w:r>
        <w:instrText xml:space="preserve"> HYPERLINK \l "_Toc70495097" </w:instrText>
      </w:r>
      <w:r>
        <w:fldChar w:fldCharType="separate"/>
      </w:r>
      <w:r>
        <w:rPr>
          <w:rStyle w:val="13"/>
          <w:rFonts w:hint="eastAsia" w:ascii="楷体" w:hAnsi="楷体" w:eastAsia="楷体"/>
          <w:color w:val="auto"/>
          <w:sz w:val="24"/>
          <w:szCs w:val="24"/>
        </w:rPr>
        <w:t>（五）可延迟体检的情形</w:t>
      </w:r>
      <w:r>
        <w:tab/>
      </w:r>
      <w:r>
        <w:fldChar w:fldCharType="begin"/>
      </w:r>
      <w:r>
        <w:instrText xml:space="preserve"> PAGEREF _Toc70495097 \h </w:instrText>
      </w:r>
      <w:r>
        <w:fldChar w:fldCharType="end"/>
      </w:r>
      <w:r>
        <w:fldChar w:fldCharType="end"/>
      </w:r>
      <w:r>
        <w:rPr>
          <w:rFonts w:hint="eastAsia"/>
        </w:rPr>
        <w:t>15</w:t>
      </w:r>
    </w:p>
    <w:p>
      <w:pPr>
        <w:pStyle w:val="8"/>
        <w:shd w:val="clear"/>
        <w:tabs>
          <w:tab w:val="right" w:leader="dot" w:pos="8834"/>
        </w:tabs>
        <w:snapToGrid w:val="0"/>
        <w:spacing w:line="560" w:lineRule="exact"/>
        <w:ind w:left="0" w:leftChars="0" w:firstLine="420" w:firstLineChars="200"/>
      </w:pPr>
      <w:r>
        <w:fldChar w:fldCharType="begin"/>
      </w:r>
      <w:r>
        <w:instrText xml:space="preserve"> HYPERLINK \l "_Toc70495098" </w:instrText>
      </w:r>
      <w:r>
        <w:fldChar w:fldCharType="separate"/>
      </w:r>
      <w:r>
        <w:rPr>
          <w:rStyle w:val="13"/>
          <w:rFonts w:hint="eastAsia" w:ascii="楷体" w:hAnsi="楷体" w:eastAsia="楷体"/>
          <w:color w:val="auto"/>
          <w:sz w:val="24"/>
          <w:szCs w:val="24"/>
        </w:rPr>
        <w:t>（六）考察</w:t>
      </w:r>
      <w:r>
        <w:tab/>
      </w:r>
      <w:r>
        <w:rPr>
          <w:rFonts w:hint="eastAsia"/>
        </w:rPr>
        <w:t>1</w:t>
      </w:r>
      <w:r>
        <w:rPr>
          <w:rFonts w:hint="eastAsia"/>
        </w:rPr>
        <w:fldChar w:fldCharType="end"/>
      </w:r>
      <w:r>
        <w:rPr>
          <w:rFonts w:hint="eastAsia"/>
        </w:rPr>
        <w:t>5</w:t>
      </w:r>
    </w:p>
    <w:p>
      <w:pPr>
        <w:pStyle w:val="7"/>
        <w:shd w:val="clear"/>
        <w:tabs>
          <w:tab w:val="right" w:leader="dot" w:pos="8834"/>
        </w:tabs>
        <w:snapToGrid w:val="0"/>
        <w:spacing w:line="560" w:lineRule="exact"/>
      </w:pPr>
      <w:r>
        <w:fldChar w:fldCharType="begin"/>
      </w:r>
      <w:r>
        <w:instrText xml:space="preserve"> HYPERLINK \l "_Toc70495099" </w:instrText>
      </w:r>
      <w:r>
        <w:fldChar w:fldCharType="separate"/>
      </w:r>
      <w:r>
        <w:rPr>
          <w:rStyle w:val="13"/>
          <w:rFonts w:hint="eastAsia" w:ascii="黑体" w:hAnsi="黑体" w:eastAsia="黑体"/>
          <w:color w:val="auto"/>
          <w:sz w:val="24"/>
          <w:szCs w:val="24"/>
        </w:rPr>
        <w:t>十三、公示</w:t>
      </w:r>
      <w:r>
        <w:tab/>
      </w:r>
      <w:r>
        <w:fldChar w:fldCharType="begin"/>
      </w:r>
      <w:r>
        <w:instrText xml:space="preserve"> PAGEREF _Toc70495099 \h </w:instrText>
      </w:r>
      <w:r>
        <w:fldChar w:fldCharType="separate"/>
      </w:r>
      <w:r>
        <w:t>1</w:t>
      </w:r>
      <w:r>
        <w:rPr>
          <w:rFonts w:hint="eastAsia"/>
        </w:rPr>
        <w:t>6</w:t>
      </w:r>
      <w:r>
        <w:fldChar w:fldCharType="end"/>
      </w:r>
      <w:r>
        <w:fldChar w:fldCharType="end"/>
      </w:r>
    </w:p>
    <w:p>
      <w:pPr>
        <w:pStyle w:val="7"/>
        <w:shd w:val="clear"/>
        <w:tabs>
          <w:tab w:val="right" w:leader="dot" w:pos="8834"/>
        </w:tabs>
        <w:snapToGrid w:val="0"/>
        <w:spacing w:line="560" w:lineRule="exact"/>
      </w:pPr>
      <w:r>
        <w:fldChar w:fldCharType="begin"/>
      </w:r>
      <w:r>
        <w:instrText xml:space="preserve"> HYPERLINK \l "_Toc70495100" </w:instrText>
      </w:r>
      <w:r>
        <w:fldChar w:fldCharType="separate"/>
      </w:r>
      <w:r>
        <w:rPr>
          <w:rStyle w:val="13"/>
          <w:rFonts w:hint="eastAsia" w:ascii="黑体" w:hAnsi="黑体" w:eastAsia="黑体"/>
          <w:color w:val="auto"/>
          <w:sz w:val="24"/>
          <w:szCs w:val="24"/>
        </w:rPr>
        <w:t>十四、聘用办理</w:t>
      </w:r>
      <w:r>
        <w:tab/>
      </w:r>
      <w:r>
        <w:fldChar w:fldCharType="begin"/>
      </w:r>
      <w:r>
        <w:instrText xml:space="preserve"> PAGEREF _Toc70495100 \h </w:instrText>
      </w:r>
      <w:r>
        <w:fldChar w:fldCharType="separate"/>
      </w:r>
      <w:r>
        <w:t>16</w:t>
      </w:r>
      <w:r>
        <w:fldChar w:fldCharType="end"/>
      </w:r>
      <w:r>
        <w:fldChar w:fldCharType="end"/>
      </w:r>
    </w:p>
    <w:p>
      <w:pPr>
        <w:pStyle w:val="8"/>
        <w:shd w:val="clear"/>
        <w:tabs>
          <w:tab w:val="right" w:leader="dot" w:pos="8834"/>
        </w:tabs>
        <w:snapToGrid w:val="0"/>
        <w:spacing w:line="560" w:lineRule="exact"/>
        <w:ind w:left="0" w:leftChars="0" w:firstLine="420" w:firstLineChars="200"/>
      </w:pPr>
      <w:r>
        <w:fldChar w:fldCharType="begin"/>
      </w:r>
      <w:r>
        <w:instrText xml:space="preserve"> HYPERLINK \l "_Toc70495101" </w:instrText>
      </w:r>
      <w:r>
        <w:fldChar w:fldCharType="separate"/>
      </w:r>
      <w:r>
        <w:rPr>
          <w:rStyle w:val="13"/>
          <w:rFonts w:hint="eastAsia" w:ascii="楷体" w:hAnsi="楷体" w:eastAsia="楷体"/>
          <w:color w:val="auto"/>
          <w:sz w:val="24"/>
          <w:szCs w:val="24"/>
        </w:rPr>
        <w:t>（一）聘用手续办理</w:t>
      </w:r>
      <w:r>
        <w:tab/>
      </w:r>
      <w:r>
        <w:rPr>
          <w:rFonts w:hint="eastAsia"/>
        </w:rPr>
        <w:t>1</w:t>
      </w:r>
      <w:r>
        <w:rPr>
          <w:rFonts w:hint="eastAsia"/>
        </w:rPr>
        <w:fldChar w:fldCharType="end"/>
      </w:r>
      <w:r>
        <w:rPr>
          <w:rFonts w:hint="eastAsia"/>
        </w:rPr>
        <w:t>6</w:t>
      </w:r>
    </w:p>
    <w:p>
      <w:pPr>
        <w:pStyle w:val="8"/>
        <w:shd w:val="clear"/>
        <w:tabs>
          <w:tab w:val="right" w:leader="dot" w:pos="8834"/>
        </w:tabs>
        <w:snapToGrid w:val="0"/>
        <w:spacing w:line="560" w:lineRule="exact"/>
        <w:ind w:left="0" w:leftChars="0" w:firstLine="420" w:firstLineChars="200"/>
      </w:pPr>
      <w:r>
        <w:fldChar w:fldCharType="begin"/>
      </w:r>
      <w:r>
        <w:instrText xml:space="preserve"> HYPERLINK \l "_Toc70495102" </w:instrText>
      </w:r>
      <w:r>
        <w:fldChar w:fldCharType="separate"/>
      </w:r>
      <w:r>
        <w:rPr>
          <w:rStyle w:val="13"/>
          <w:rFonts w:hint="eastAsia" w:ascii="楷体" w:hAnsi="楷体" w:eastAsia="楷体"/>
          <w:color w:val="auto"/>
          <w:sz w:val="24"/>
          <w:szCs w:val="24"/>
        </w:rPr>
        <w:t>（二）岗位聘任</w:t>
      </w:r>
      <w:r>
        <w:tab/>
      </w:r>
      <w:r>
        <w:rPr>
          <w:rFonts w:hint="eastAsia"/>
        </w:rPr>
        <w:t>1</w:t>
      </w:r>
      <w:r>
        <w:rPr>
          <w:rFonts w:hint="eastAsia"/>
        </w:rPr>
        <w:fldChar w:fldCharType="end"/>
      </w:r>
      <w:r>
        <w:rPr>
          <w:rFonts w:hint="eastAsia"/>
        </w:rPr>
        <w:t>6</w:t>
      </w:r>
    </w:p>
    <w:p>
      <w:pPr>
        <w:pStyle w:val="7"/>
        <w:shd w:val="clear"/>
        <w:tabs>
          <w:tab w:val="right" w:leader="dot" w:pos="8834"/>
        </w:tabs>
        <w:snapToGrid w:val="0"/>
        <w:spacing w:line="560" w:lineRule="exact"/>
      </w:pPr>
      <w:r>
        <w:fldChar w:fldCharType="begin"/>
      </w:r>
      <w:r>
        <w:instrText xml:space="preserve"> HYPERLINK \l "_Toc70495103" </w:instrText>
      </w:r>
      <w:r>
        <w:fldChar w:fldCharType="separate"/>
      </w:r>
      <w:r>
        <w:rPr>
          <w:rStyle w:val="13"/>
          <w:rFonts w:hint="eastAsia" w:ascii="黑体" w:hAnsi="黑体" w:eastAsia="黑体"/>
          <w:color w:val="auto"/>
          <w:sz w:val="24"/>
          <w:szCs w:val="24"/>
        </w:rPr>
        <w:t>十五、其他需说明事项</w:t>
      </w:r>
      <w:r>
        <w:tab/>
      </w:r>
      <w:r>
        <w:fldChar w:fldCharType="begin"/>
      </w:r>
      <w:r>
        <w:instrText xml:space="preserve"> PAGEREF _Toc70495103 \h </w:instrText>
      </w:r>
      <w:r>
        <w:fldChar w:fldCharType="separate"/>
      </w:r>
      <w:r>
        <w:t>1</w:t>
      </w:r>
      <w:r>
        <w:rPr>
          <w:rFonts w:hint="eastAsia"/>
        </w:rPr>
        <w:t>7</w:t>
      </w:r>
      <w:r>
        <w:fldChar w:fldCharType="end"/>
      </w:r>
      <w:r>
        <w:fldChar w:fldCharType="end"/>
      </w:r>
    </w:p>
    <w:p>
      <w:pPr>
        <w:pStyle w:val="8"/>
        <w:shd w:val="clear"/>
        <w:tabs>
          <w:tab w:val="right" w:leader="dot" w:pos="8834"/>
        </w:tabs>
        <w:snapToGrid w:val="0"/>
        <w:spacing w:line="560" w:lineRule="exact"/>
        <w:ind w:left="0" w:leftChars="0" w:firstLine="420" w:firstLineChars="200"/>
      </w:pPr>
      <w:r>
        <w:fldChar w:fldCharType="begin"/>
      </w:r>
      <w:r>
        <w:instrText xml:space="preserve"> HYPERLINK \l "_Toc70495106" </w:instrText>
      </w:r>
      <w:r>
        <w:fldChar w:fldCharType="separate"/>
      </w:r>
      <w:r>
        <w:rPr>
          <w:rStyle w:val="13"/>
          <w:rFonts w:hint="eastAsia" w:ascii="楷体" w:hAnsi="楷体" w:eastAsia="楷体"/>
          <w:color w:val="auto"/>
          <w:sz w:val="24"/>
          <w:szCs w:val="24"/>
        </w:rPr>
        <w:t>（一）职称</w:t>
      </w:r>
      <w:r>
        <w:tab/>
      </w:r>
      <w:r>
        <w:rPr>
          <w:rFonts w:hint="eastAsia"/>
        </w:rPr>
        <w:t>1</w:t>
      </w:r>
      <w:r>
        <w:rPr>
          <w:rFonts w:hint="eastAsia"/>
        </w:rPr>
        <w:fldChar w:fldCharType="end"/>
      </w:r>
      <w:r>
        <w:rPr>
          <w:rFonts w:hint="eastAsia"/>
        </w:rPr>
        <w:t>7</w:t>
      </w:r>
    </w:p>
    <w:p>
      <w:pPr>
        <w:pStyle w:val="8"/>
        <w:shd w:val="clear"/>
        <w:tabs>
          <w:tab w:val="right" w:leader="dot" w:pos="8834"/>
        </w:tabs>
        <w:snapToGrid w:val="0"/>
        <w:spacing w:line="560" w:lineRule="exact"/>
        <w:ind w:left="0" w:leftChars="0" w:firstLine="420" w:firstLineChars="200"/>
        <w:rPr>
          <w:rFonts w:hint="eastAsia" w:eastAsia="宋体"/>
          <w:lang w:eastAsia="zh-CN"/>
        </w:rPr>
      </w:pPr>
      <w:r>
        <w:fldChar w:fldCharType="begin"/>
      </w:r>
      <w:r>
        <w:instrText xml:space="preserve"> HYPERLINK \l "_Toc70495107" </w:instrText>
      </w:r>
      <w:r>
        <w:fldChar w:fldCharType="separate"/>
      </w:r>
      <w:r>
        <w:rPr>
          <w:rStyle w:val="13"/>
          <w:rFonts w:hint="eastAsia" w:ascii="楷体" w:hAnsi="楷体" w:eastAsia="楷体"/>
          <w:color w:val="auto"/>
          <w:sz w:val="24"/>
          <w:szCs w:val="24"/>
        </w:rPr>
        <w:t>（二）生源</w:t>
      </w:r>
      <w:r>
        <w:tab/>
      </w:r>
      <w:r>
        <w:rPr>
          <w:rFonts w:hint="eastAsia"/>
        </w:rPr>
        <w:t>1</w:t>
      </w:r>
      <w:r>
        <w:rPr>
          <w:rFonts w:hint="eastAsia"/>
        </w:rPr>
        <w:fldChar w:fldCharType="end"/>
      </w:r>
      <w:r>
        <w:rPr>
          <w:rFonts w:hint="eastAsia"/>
          <w:lang w:val="en-US" w:eastAsia="zh-CN"/>
        </w:rPr>
        <w:t>7</w:t>
      </w:r>
    </w:p>
    <w:p>
      <w:pPr>
        <w:pStyle w:val="8"/>
        <w:shd w:val="clear"/>
        <w:tabs>
          <w:tab w:val="right" w:leader="dot" w:pos="8834"/>
        </w:tabs>
        <w:snapToGrid w:val="0"/>
        <w:spacing w:line="560" w:lineRule="exact"/>
        <w:ind w:left="0" w:leftChars="0" w:firstLine="420" w:firstLineChars="200"/>
      </w:pPr>
      <w:r>
        <w:fldChar w:fldCharType="begin"/>
      </w:r>
      <w:r>
        <w:instrText xml:space="preserve"> HYPERLINK \l "_Toc70495108" </w:instrText>
      </w:r>
      <w:r>
        <w:fldChar w:fldCharType="separate"/>
      </w:r>
      <w:r>
        <w:rPr>
          <w:rStyle w:val="13"/>
          <w:rFonts w:hint="eastAsia" w:ascii="楷体" w:hAnsi="楷体" w:eastAsia="楷体"/>
          <w:color w:val="auto"/>
          <w:sz w:val="24"/>
          <w:szCs w:val="24"/>
        </w:rPr>
        <w:t>（三）港澳台人员</w:t>
      </w:r>
      <w:r>
        <w:tab/>
      </w:r>
      <w:r>
        <w:rPr>
          <w:rFonts w:hint="eastAsia"/>
        </w:rPr>
        <w:t>1</w:t>
      </w:r>
      <w:r>
        <w:rPr>
          <w:rFonts w:hint="eastAsia"/>
        </w:rPr>
        <w:fldChar w:fldCharType="end"/>
      </w:r>
      <w:r>
        <w:rPr>
          <w:rFonts w:hint="eastAsia"/>
        </w:rPr>
        <w:t>8</w:t>
      </w:r>
    </w:p>
    <w:p>
      <w:pPr>
        <w:pStyle w:val="8"/>
        <w:shd w:val="clear"/>
        <w:tabs>
          <w:tab w:val="right" w:leader="dot" w:pos="8834"/>
        </w:tabs>
        <w:snapToGrid w:val="0"/>
        <w:spacing w:line="560" w:lineRule="exact"/>
        <w:ind w:left="0" w:leftChars="0" w:firstLine="420" w:firstLineChars="200"/>
      </w:pPr>
      <w:r>
        <w:fldChar w:fldCharType="begin"/>
      </w:r>
      <w:r>
        <w:instrText xml:space="preserve"> HYPERLINK \l "_Toc70495104" </w:instrText>
      </w:r>
      <w:r>
        <w:fldChar w:fldCharType="separate"/>
      </w:r>
      <w:r>
        <w:rPr>
          <w:rStyle w:val="13"/>
          <w:rFonts w:hint="eastAsia" w:ascii="楷体" w:hAnsi="楷体" w:eastAsia="楷体"/>
          <w:color w:val="auto"/>
          <w:sz w:val="24"/>
          <w:szCs w:val="24"/>
        </w:rPr>
        <w:t>（四）技工院校毕业生</w:t>
      </w:r>
      <w:r>
        <w:tab/>
      </w:r>
      <w:r>
        <w:rPr>
          <w:rFonts w:hint="eastAsia"/>
        </w:rPr>
        <w:t>1</w:t>
      </w:r>
      <w:r>
        <w:rPr>
          <w:rFonts w:hint="eastAsia"/>
        </w:rPr>
        <w:fldChar w:fldCharType="end"/>
      </w:r>
      <w:r>
        <w:rPr>
          <w:rFonts w:hint="eastAsia"/>
        </w:rPr>
        <w:t>8</w:t>
      </w:r>
    </w:p>
    <w:p>
      <w:pPr>
        <w:pStyle w:val="8"/>
        <w:shd w:val="clear"/>
        <w:tabs>
          <w:tab w:val="right" w:leader="dot" w:pos="8834"/>
        </w:tabs>
        <w:snapToGrid w:val="0"/>
        <w:spacing w:line="560" w:lineRule="exact"/>
        <w:ind w:left="0" w:leftChars="0" w:firstLine="420" w:firstLineChars="200"/>
      </w:pPr>
      <w:r>
        <w:fldChar w:fldCharType="begin"/>
      </w:r>
      <w:r>
        <w:instrText xml:space="preserve"> HYPERLINK \l "_Toc70495105" </w:instrText>
      </w:r>
      <w:r>
        <w:fldChar w:fldCharType="separate"/>
      </w:r>
      <w:r>
        <w:rPr>
          <w:rStyle w:val="13"/>
          <w:rFonts w:hint="eastAsia" w:ascii="楷体" w:hAnsi="楷体" w:eastAsia="楷体"/>
          <w:color w:val="auto"/>
          <w:sz w:val="24"/>
          <w:szCs w:val="24"/>
        </w:rPr>
        <w:t>（五）规范化培训</w:t>
      </w:r>
      <w:r>
        <w:tab/>
      </w:r>
      <w:r>
        <w:rPr>
          <w:rFonts w:hint="eastAsia"/>
        </w:rPr>
        <w:t>1</w:t>
      </w:r>
      <w:r>
        <w:rPr>
          <w:rFonts w:hint="eastAsia"/>
        </w:rPr>
        <w:fldChar w:fldCharType="end"/>
      </w:r>
      <w:r>
        <w:rPr>
          <w:rFonts w:hint="eastAsia"/>
        </w:rPr>
        <w:t>9</w:t>
      </w:r>
    </w:p>
    <w:p>
      <w:pPr>
        <w:pStyle w:val="8"/>
        <w:shd w:val="clear"/>
        <w:tabs>
          <w:tab w:val="right" w:leader="dot" w:pos="8834"/>
        </w:tabs>
        <w:snapToGrid w:val="0"/>
        <w:spacing w:line="560" w:lineRule="exact"/>
        <w:ind w:left="0" w:leftChars="0" w:firstLine="420" w:firstLineChars="200"/>
      </w:pPr>
      <w:r>
        <w:fldChar w:fldCharType="begin"/>
      </w:r>
      <w:r>
        <w:instrText xml:space="preserve"> HYPERLINK \l "_Toc70495104" </w:instrText>
      </w:r>
      <w:r>
        <w:fldChar w:fldCharType="separate"/>
      </w:r>
      <w:r>
        <w:rPr>
          <w:rStyle w:val="13"/>
          <w:rFonts w:hint="eastAsia" w:ascii="楷体" w:hAnsi="楷体" w:eastAsia="楷体"/>
          <w:color w:val="auto"/>
          <w:sz w:val="24"/>
          <w:szCs w:val="24"/>
        </w:rPr>
        <w:t>（六）其他</w:t>
      </w:r>
      <w:r>
        <w:tab/>
      </w:r>
      <w:r>
        <w:rPr>
          <w:rFonts w:hint="eastAsia"/>
        </w:rPr>
        <w:t>19</w:t>
      </w:r>
      <w:r>
        <w:rPr>
          <w:rFonts w:hint="eastAsia"/>
        </w:rPr>
        <w:fldChar w:fldCharType="end"/>
      </w:r>
    </w:p>
    <w:p>
      <w:pPr>
        <w:shd w:val="clear"/>
        <w:snapToGrid w:val="0"/>
        <w:spacing w:line="560" w:lineRule="exact"/>
        <w:rPr>
          <w:rFonts w:ascii="仿宋" w:hAnsi="仿宋" w:eastAsia="仿宋" w:cs="仿宋"/>
          <w:sz w:val="24"/>
          <w:szCs w:val="24"/>
        </w:rPr>
        <w:sectPr>
          <w:footerReference r:id="rId3" w:type="default"/>
          <w:pgSz w:w="11906" w:h="16838"/>
          <w:pgMar w:top="2098" w:right="1474" w:bottom="1984" w:left="1587" w:header="851" w:footer="992" w:gutter="0"/>
          <w:pgNumType w:start="1"/>
          <w:cols w:space="0" w:num="1"/>
          <w:docGrid w:type="lines" w:linePitch="312" w:charSpace="0"/>
        </w:sectPr>
      </w:pPr>
      <w:r>
        <w:rPr>
          <w:rFonts w:ascii="仿宋" w:hAnsi="仿宋" w:eastAsia="仿宋" w:cs="仿宋"/>
          <w:sz w:val="24"/>
          <w:szCs w:val="24"/>
        </w:rPr>
        <w:fldChar w:fldCharType="end"/>
      </w:r>
    </w:p>
    <w:p>
      <w:pPr>
        <w:shd w:val="clea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本须知仅适用于厦门市翔安区所属卫生事业单位公开招聘工作人员考试（2024年4月），由厦门市翔安区人力资源和社会保障局（以下简称“区人社局”）负责解释。</w:t>
      </w:r>
    </w:p>
    <w:p>
      <w:pPr>
        <w:shd w:val="clear"/>
        <w:tabs>
          <w:tab w:val="left" w:pos="0"/>
        </w:tabs>
        <w:snapToGrid w:val="0"/>
        <w:spacing w:line="560" w:lineRule="exact"/>
        <w:ind w:firstLine="640" w:firstLineChars="200"/>
        <w:outlineLvl w:val="0"/>
        <w:rPr>
          <w:rFonts w:ascii="黑体" w:hAnsi="黑体" w:eastAsia="黑体" w:cs="黑体"/>
          <w:sz w:val="32"/>
          <w:szCs w:val="32"/>
        </w:rPr>
      </w:pPr>
      <w:bookmarkStart w:id="1" w:name="_Toc70495066"/>
      <w:r>
        <w:rPr>
          <w:rFonts w:hint="eastAsia" w:ascii="黑体" w:hAnsi="黑体" w:eastAsia="黑体" w:cs="黑体"/>
          <w:sz w:val="32"/>
          <w:szCs w:val="32"/>
        </w:rPr>
        <w:t>一、基本条件</w:t>
      </w:r>
      <w:bookmarkEnd w:id="1"/>
    </w:p>
    <w:p>
      <w:pPr>
        <w:shd w:val="clear"/>
        <w:spacing w:line="560" w:lineRule="exact"/>
        <w:ind w:firstLine="640" w:firstLineChars="200"/>
        <w:rPr>
          <w:rFonts w:ascii="仿宋_GB2312" w:hAnsi="宋体" w:eastAsia="仿宋_GB2312"/>
          <w:sz w:val="32"/>
          <w:szCs w:val="32"/>
        </w:rPr>
      </w:pPr>
      <w:bookmarkStart w:id="2" w:name="_Toc70495067"/>
      <w:r>
        <w:rPr>
          <w:rFonts w:hint="eastAsia" w:ascii="仿宋_GB2312" w:hAnsi="宋体" w:eastAsia="仿宋_GB2312"/>
          <w:sz w:val="32"/>
          <w:szCs w:val="32"/>
        </w:rPr>
        <w:t>（一）具有中华人民共和国国籍；</w:t>
      </w:r>
    </w:p>
    <w:p>
      <w:pPr>
        <w:shd w:val="clea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（二）拥护中华人民共和国宪法，拥护中国共产党领导和社会主义制度；</w:t>
      </w:r>
    </w:p>
    <w:p>
      <w:pPr>
        <w:shd w:val="clear"/>
        <w:spacing w:line="560" w:lineRule="exact"/>
        <w:ind w:firstLine="640" w:firstLineChars="200"/>
        <w:rPr>
          <w:rFonts w:ascii="仿宋_GB2312" w:hAnsi="宋体" w:eastAsia="仿宋_GB2312"/>
          <w:sz w:val="32"/>
          <w:szCs w:val="32"/>
        </w:rPr>
      </w:pPr>
      <w:bookmarkStart w:id="3" w:name="_Toc7847_WPSOffice_Level2"/>
      <w:bookmarkStart w:id="4" w:name="_Toc20094_WPSOffice_Level2"/>
      <w:bookmarkStart w:id="5" w:name="_Toc6014_WPSOffice_Level2"/>
      <w:bookmarkStart w:id="6" w:name="_Toc9634_WPSOffice_Level2"/>
      <w:r>
        <w:rPr>
          <w:rFonts w:hint="eastAsia" w:ascii="仿宋_GB2312" w:hAnsi="宋体" w:eastAsia="仿宋_GB2312"/>
          <w:sz w:val="32"/>
          <w:szCs w:val="32"/>
        </w:rPr>
        <w:t>（三）</w:t>
      </w:r>
      <w:bookmarkEnd w:id="3"/>
      <w:bookmarkEnd w:id="4"/>
      <w:bookmarkEnd w:id="5"/>
      <w:bookmarkEnd w:id="6"/>
      <w:r>
        <w:rPr>
          <w:rFonts w:hint="eastAsia" w:ascii="仿宋_GB2312" w:hAnsi="宋体" w:eastAsia="仿宋_GB2312"/>
          <w:sz w:val="32"/>
          <w:szCs w:val="32"/>
        </w:rPr>
        <w:t>热爱卫生健康事业，具有良好的政治素质和职业道德，具有正常履行职责的身体条件和心理素质；</w:t>
      </w:r>
    </w:p>
    <w:p>
      <w:pPr>
        <w:shd w:val="clea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（四）</w:t>
      </w:r>
      <w:r>
        <w:rPr>
          <w:rFonts w:hint="eastAsia" w:ascii="仿宋_GB2312" w:eastAsia="仿宋_GB2312"/>
          <w:sz w:val="32"/>
          <w:szCs w:val="32"/>
        </w:rPr>
        <w:t>18周岁以上、35周岁以下（在1988年4月至2006年4月期间出生），对年龄条件另有要求的，以岗位要求为准</w:t>
      </w:r>
      <w:r>
        <w:rPr>
          <w:rFonts w:hint="eastAsia" w:ascii="仿宋_GB2312" w:hAnsi="宋体" w:eastAsia="仿宋_GB2312"/>
          <w:sz w:val="32"/>
          <w:szCs w:val="32"/>
        </w:rPr>
        <w:t>；</w:t>
      </w:r>
    </w:p>
    <w:p>
      <w:pPr>
        <w:shd w:val="clear"/>
        <w:spacing w:line="560" w:lineRule="exact"/>
        <w:ind w:firstLine="640" w:firstLineChars="200"/>
        <w:rPr>
          <w:rFonts w:ascii="仿宋_GB2312" w:eastAsia="仿宋_GB2312"/>
          <w:sz w:val="32"/>
          <w:szCs w:val="32"/>
        </w:rPr>
      </w:pPr>
      <w:r>
        <w:rPr>
          <w:rFonts w:hint="eastAsia" w:ascii="仿宋_GB2312" w:hAnsi="宋体" w:eastAsia="仿宋_GB2312"/>
          <w:sz w:val="32"/>
          <w:szCs w:val="32"/>
        </w:rPr>
        <w:t>（五）具备招聘岗位设置的资格条件。</w:t>
      </w:r>
    </w:p>
    <w:p>
      <w:pPr>
        <w:shd w:val="clear"/>
        <w:snapToGrid w:val="0"/>
        <w:spacing w:line="560" w:lineRule="exact"/>
        <w:rPr>
          <w:rFonts w:ascii="黑体" w:hAnsi="黑体" w:eastAsia="黑体" w:cs="黑体"/>
          <w:sz w:val="32"/>
          <w:szCs w:val="32"/>
        </w:rPr>
      </w:pPr>
      <w:r>
        <w:rPr>
          <w:rFonts w:hint="eastAsia" w:ascii="黑体" w:hAnsi="黑体" w:eastAsia="黑体" w:cs="黑体"/>
          <w:sz w:val="32"/>
          <w:szCs w:val="32"/>
        </w:rPr>
        <w:t xml:space="preserve">    二、不得报考或取消报考（聘用）资格的情形</w:t>
      </w:r>
      <w:bookmarkEnd w:id="2"/>
    </w:p>
    <w:p>
      <w:pPr>
        <w:shd w:val="clear"/>
        <w:spacing w:line="560" w:lineRule="exact"/>
        <w:ind w:firstLine="640" w:firstLineChars="200"/>
        <w:rPr>
          <w:rFonts w:ascii="仿宋_GB2312" w:hAnsi="宋体" w:eastAsia="仿宋_GB2312"/>
          <w:sz w:val="32"/>
          <w:szCs w:val="32"/>
        </w:rPr>
      </w:pPr>
      <w:bookmarkStart w:id="7" w:name="_Toc70495068"/>
      <w:r>
        <w:rPr>
          <w:rFonts w:hint="eastAsia" w:ascii="仿宋_GB2312" w:hAnsi="宋体" w:eastAsia="仿宋_GB2312"/>
          <w:sz w:val="32"/>
          <w:szCs w:val="32"/>
        </w:rPr>
        <w:t>（一）曾因犯罪受过刑事处罚的；</w:t>
      </w:r>
    </w:p>
    <w:p>
      <w:pPr>
        <w:shd w:val="clea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（二）曾被开除公职或开除中国共产党党籍的；</w:t>
      </w:r>
    </w:p>
    <w:p>
      <w:pPr>
        <w:shd w:val="clea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（三）被依法列为失信联合惩戒对象的；</w:t>
      </w:r>
    </w:p>
    <w:p>
      <w:pPr>
        <w:shd w:val="clea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（四）工作期间曾发生医疗事故负有主要责任的；</w:t>
      </w:r>
    </w:p>
    <w:p>
      <w:pPr>
        <w:shd w:val="clea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（五）在各级公务员或事业单位招考中被认定有舞弊等严重违反录(聘)用纪律行为的；</w:t>
      </w:r>
    </w:p>
    <w:p>
      <w:pPr>
        <w:shd w:val="clea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（六）公务员或参照公务员法管理机关（单位）工作人员（以下简称“参公人员”）被辞退未满5年的；</w:t>
      </w:r>
    </w:p>
    <w:p>
      <w:pPr>
        <w:shd w:val="clea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（七）</w:t>
      </w:r>
      <w:r>
        <w:rPr>
          <w:rFonts w:hint="eastAsia" w:ascii="仿宋_GB2312" w:eastAsia="仿宋_GB2312"/>
          <w:sz w:val="32"/>
          <w:szCs w:val="32"/>
        </w:rPr>
        <w:t>公务员或参公人员录用后服务年限未达到与当地公务员主管部门或所在单位组织人事部门约定服务年限的</w:t>
      </w:r>
      <w:r>
        <w:rPr>
          <w:rFonts w:hint="eastAsia" w:ascii="仿宋_GB2312" w:hAnsi="宋体" w:eastAsia="仿宋_GB2312"/>
          <w:sz w:val="32"/>
          <w:szCs w:val="32"/>
        </w:rPr>
        <w:t>；</w:t>
      </w:r>
    </w:p>
    <w:p>
      <w:pPr>
        <w:shd w:val="clear"/>
        <w:spacing w:line="560" w:lineRule="exact"/>
        <w:ind w:firstLine="640" w:firstLineChars="200"/>
        <w:rPr>
          <w:rFonts w:ascii="仿宋_GB2312" w:hAnsi="宋体" w:eastAsia="仿宋_GB2312"/>
          <w:sz w:val="32"/>
          <w:szCs w:val="32"/>
        </w:rPr>
      </w:pPr>
      <w:r>
        <w:rPr>
          <w:rFonts w:hint="eastAsia" w:ascii="仿宋_GB2312" w:hAnsi="宋体" w:eastAsia="仿宋_GB2312" w:cs="宋体"/>
          <w:sz w:val="32"/>
          <w:szCs w:val="32"/>
        </w:rPr>
        <w:t>（八）</w:t>
      </w:r>
      <w:r>
        <w:rPr>
          <w:rFonts w:hint="eastAsia" w:ascii="仿宋_GB2312" w:hAnsi="宋体" w:eastAsia="仿宋_GB2312"/>
          <w:sz w:val="32"/>
          <w:szCs w:val="32"/>
        </w:rPr>
        <w:t>现役军人及普通高等院校全日制在读的非应届毕业生（即2025年及以后才学业期满的全日制普通教育学生）；</w:t>
      </w:r>
    </w:p>
    <w:p>
      <w:pPr>
        <w:shd w:val="clea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（九）聘用后即构成应回避关系的；</w:t>
      </w:r>
    </w:p>
    <w:p>
      <w:pPr>
        <w:shd w:val="clea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十）根据原福建省卫生计生委等六部门《关于印发&lt;完善福建省住院医师规范化培训制度的实施意见&gt;的通知》（闽卫科教〔2015〕107号）和《福建省卫生计生委关于印发福建省住院医师规范化培训实施方案的通知》（闽卫科教〔2016〕83号）精神：凡是以单位人身份进入住院医师规范化培训的人员或以单位人身份正在接受住院医师规范化培训的人员，在培训期间及培训结束（含终止培训或退出培训）后3年内不得报考培训基地所在单位的任何招聘岗位；</w:t>
      </w:r>
    </w:p>
    <w:p>
      <w:pPr>
        <w:shd w:val="clea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（十一）法律法规规章规定不得聘为事业单位人员的其他情形。</w:t>
      </w:r>
    </w:p>
    <w:p>
      <w:pPr>
        <w:shd w:val="clear"/>
        <w:tabs>
          <w:tab w:val="left" w:pos="0"/>
        </w:tabs>
        <w:snapToGrid w:val="0"/>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三、选报岗位</w:t>
      </w:r>
      <w:bookmarkEnd w:id="7"/>
    </w:p>
    <w:p>
      <w:pPr>
        <w:shd w:val="clear"/>
        <w:snapToGrid w:val="0"/>
        <w:spacing w:line="560" w:lineRule="exact"/>
        <w:ind w:firstLine="643" w:firstLineChars="200"/>
        <w:outlineLvl w:val="1"/>
        <w:rPr>
          <w:rFonts w:ascii="楷体_GB2312" w:hAnsi="楷体_GB2312" w:eastAsia="楷体_GB2312" w:cs="楷体_GB2312"/>
          <w:b/>
          <w:sz w:val="32"/>
          <w:szCs w:val="32"/>
        </w:rPr>
      </w:pPr>
      <w:bookmarkStart w:id="8" w:name="_Toc70495069"/>
      <w:r>
        <w:rPr>
          <w:rFonts w:hint="eastAsia" w:ascii="楷体_GB2312" w:hAnsi="楷体_GB2312" w:eastAsia="楷体_GB2312" w:cs="楷体_GB2312"/>
          <w:b/>
          <w:sz w:val="32"/>
          <w:szCs w:val="32"/>
        </w:rPr>
        <w:t>（一）报考条件确认</w:t>
      </w:r>
      <w:bookmarkEnd w:id="8"/>
    </w:p>
    <w:p>
      <w:pPr>
        <w:shd w:val="clea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eastAsia="仿宋_GB2312"/>
          <w:sz w:val="32"/>
          <w:szCs w:val="32"/>
        </w:rPr>
        <w:t>报考者须在报名时，全面、逐项对照招聘岗位和招聘简章等要求，确认符合报考资格条件。</w:t>
      </w:r>
    </w:p>
    <w:p>
      <w:pPr>
        <w:shd w:val="clear"/>
        <w:snapToGrid w:val="0"/>
        <w:spacing w:line="56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2.</w:t>
      </w:r>
      <w:bookmarkStart w:id="9" w:name="_Toc70495070"/>
      <w:r>
        <w:rPr>
          <w:rFonts w:hint="eastAsia" w:ascii="仿宋_GB2312" w:hAnsi="仿宋_GB2312" w:eastAsia="仿宋_GB2312" w:cs="仿宋_GB2312"/>
          <w:sz w:val="32"/>
          <w:szCs w:val="32"/>
        </w:rPr>
        <w:t>本次考试采取网上报名，请报考者登录厦门市卫生健康事业单位招聘考试系统（http://27.159.97.135/index.aspx，以下简称报名系统）报名。曾在报名系统注册信息的考生，可使用原有的用户名和密码登陆，根据系统提示进行个人信息的更新维护及本次考试的报名。每名报考者只能报考1个岗位，通过资格初审后不得更改，并以通过资格初审的岗位参加考试。</w:t>
      </w:r>
    </w:p>
    <w:p>
      <w:pPr>
        <w:shd w:val="clear"/>
        <w:snapToGrid w:val="0"/>
        <w:spacing w:line="560" w:lineRule="exact"/>
        <w:ind w:firstLine="643" w:firstLineChars="200"/>
        <w:outlineLvl w:val="1"/>
        <w:rPr>
          <w:rFonts w:ascii="楷体_GB2312" w:hAnsi="楷体_GB2312" w:eastAsia="楷体_GB2312" w:cs="楷体_GB2312"/>
          <w:b/>
          <w:sz w:val="32"/>
          <w:szCs w:val="32"/>
        </w:rPr>
      </w:pPr>
      <w:r>
        <w:rPr>
          <w:rFonts w:hint="eastAsia" w:ascii="楷体_GB2312" w:hAnsi="楷体_GB2312" w:eastAsia="楷体_GB2312" w:cs="楷体_GB2312"/>
          <w:b/>
          <w:sz w:val="32"/>
          <w:szCs w:val="32"/>
        </w:rPr>
        <w:t>（二）照片要求</w:t>
      </w:r>
      <w:bookmarkEnd w:id="9"/>
    </w:p>
    <w:p>
      <w:pPr>
        <w:shd w:val="clear" w:color="auto"/>
        <w:adjustRightInd w:val="0"/>
        <w:spacing w:line="560" w:lineRule="exact"/>
        <w:ind w:firstLine="640" w:firstLineChars="200"/>
        <w:jc w:val="left"/>
        <w:rPr>
          <w:rFonts w:ascii="仿宋_GB2312" w:hAnsi="宋体" w:eastAsia="仿宋_GB2312"/>
          <w:sz w:val="32"/>
          <w:szCs w:val="32"/>
        </w:rPr>
      </w:pPr>
      <w:bookmarkStart w:id="10" w:name="_Toc70495072"/>
      <w:r>
        <w:rPr>
          <w:rFonts w:hint="eastAsia" w:ascii="仿宋_GB2312" w:hAnsi="宋体" w:eastAsia="仿宋_GB2312" w:cs="宋体"/>
          <w:sz w:val="32"/>
          <w:szCs w:val="32"/>
        </w:rPr>
        <w:t>报考者应在网上报名时提交近期正面免冠二寸彩色数码证件照（</w:t>
      </w:r>
      <w:r>
        <w:rPr>
          <w:rFonts w:hint="eastAsia" w:ascii="仿宋_GB2312" w:hAnsi="宋体" w:eastAsia="仿宋_GB2312"/>
          <w:sz w:val="32"/>
          <w:szCs w:val="32"/>
        </w:rPr>
        <w:t>jpg</w:t>
      </w:r>
      <w:r>
        <w:rPr>
          <w:rFonts w:hint="eastAsia" w:ascii="仿宋_GB2312" w:hAnsi="宋体" w:eastAsia="仿宋_GB2312" w:cs="宋体"/>
          <w:sz w:val="32"/>
          <w:szCs w:val="32"/>
        </w:rPr>
        <w:t>格式，规格</w:t>
      </w:r>
      <w:r>
        <w:rPr>
          <w:rFonts w:hint="eastAsia" w:ascii="仿宋_GB2312" w:hAnsi="宋体" w:eastAsia="仿宋_GB2312"/>
          <w:sz w:val="32"/>
          <w:szCs w:val="32"/>
        </w:rPr>
        <w:t>200K</w:t>
      </w:r>
      <w:r>
        <w:rPr>
          <w:rFonts w:hint="eastAsia" w:ascii="仿宋_GB2312" w:hAnsi="宋体" w:eastAsia="仿宋_GB2312" w:cs="宋体"/>
          <w:sz w:val="32"/>
          <w:szCs w:val="32"/>
        </w:rPr>
        <w:t>以下）。以下为常见不合格照片：①着制式服装照（公安、工商、武警等）；②着帽子或太醒目、夸张首饰等；③模糊不清晰的；④眼镜反光的；⑤明显不是个人照片的（如风景照、名人照等）；⑥随意自拍的半身照，全身照等无法看清楚脸的；⑦头发刘海遮挡面大的；⑧照片比例变形的；⑨手持证件的照片；⑩其他难以清晰辨认的。</w:t>
      </w:r>
    </w:p>
    <w:p>
      <w:pPr>
        <w:shd w:val="clear" w:color="auto"/>
        <w:adjustRightInd w:val="0"/>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报考者因未在时限内提交合格照片造成无法打印准考证的，视为自动放弃考试资格。</w:t>
      </w:r>
    </w:p>
    <w:p>
      <w:pPr>
        <w:shd w:val="clear"/>
        <w:snapToGrid w:val="0"/>
        <w:spacing w:line="560" w:lineRule="exact"/>
        <w:ind w:firstLine="643" w:firstLineChars="200"/>
        <w:outlineLvl w:val="1"/>
        <w:rPr>
          <w:rFonts w:ascii="楷体_GB2312" w:hAnsi="楷体_GB2312" w:eastAsia="楷体_GB2312" w:cs="楷体_GB2312"/>
          <w:b/>
          <w:sz w:val="32"/>
          <w:szCs w:val="32"/>
        </w:rPr>
      </w:pPr>
      <w:r>
        <w:rPr>
          <w:rFonts w:hint="eastAsia" w:ascii="楷体_GB2312" w:hAnsi="楷体_GB2312" w:eastAsia="楷体_GB2312" w:cs="楷体_GB2312"/>
          <w:b/>
          <w:sz w:val="32"/>
          <w:szCs w:val="32"/>
        </w:rPr>
        <w:t>（三）回避情形</w:t>
      </w:r>
      <w:bookmarkEnd w:id="10"/>
    </w:p>
    <w:p>
      <w:pPr>
        <w:shd w:val="clear"/>
        <w:spacing w:line="560" w:lineRule="exact"/>
        <w:ind w:firstLine="640" w:firstLineChars="200"/>
        <w:rPr>
          <w:rFonts w:ascii="仿宋_GB2312" w:eastAsia="仿宋_GB2312"/>
          <w:sz w:val="32"/>
          <w:szCs w:val="32"/>
        </w:rPr>
      </w:pPr>
      <w:bookmarkStart w:id="11" w:name="_Toc70495073"/>
      <w:r>
        <w:rPr>
          <w:rFonts w:hint="eastAsia" w:ascii="仿宋_GB2312" w:eastAsia="仿宋_GB2312"/>
          <w:sz w:val="32"/>
          <w:szCs w:val="32"/>
        </w:rPr>
        <w:t>事业单位工作人员凡有下列亲属关系的，不得在同一事业单位聘用至具有直接上下级领导关系的管理岗位，不得在其中一方担任领导人员的事业单位聘用至从事组织</w:t>
      </w:r>
      <w:r>
        <w:rPr>
          <w:rFonts w:ascii="仿宋_GB2312" w:eastAsia="仿宋_GB2312"/>
          <w:sz w:val="32"/>
          <w:szCs w:val="32"/>
        </w:rPr>
        <w:t>(</w:t>
      </w:r>
      <w:r>
        <w:rPr>
          <w:rFonts w:hint="eastAsia" w:ascii="仿宋_GB2312" w:eastAsia="仿宋_GB2312"/>
          <w:sz w:val="32"/>
          <w:szCs w:val="32"/>
        </w:rPr>
        <w:t>人事</w:t>
      </w:r>
      <w:r>
        <w:rPr>
          <w:rFonts w:ascii="仿宋_GB2312" w:eastAsia="仿宋_GB2312"/>
          <w:sz w:val="32"/>
          <w:szCs w:val="32"/>
        </w:rPr>
        <w:t>)</w:t>
      </w:r>
      <w:r>
        <w:rPr>
          <w:rFonts w:hint="eastAsia" w:ascii="仿宋_GB2312" w:eastAsia="仿宋_GB2312"/>
          <w:sz w:val="32"/>
          <w:szCs w:val="32"/>
        </w:rPr>
        <w:t>、纪检监察、审计、财务工作的岗位，也不得聘用至双方直接隶属于同一领导人员的从事组织</w:t>
      </w:r>
      <w:r>
        <w:rPr>
          <w:rFonts w:ascii="仿宋_GB2312" w:eastAsia="仿宋_GB2312"/>
          <w:sz w:val="32"/>
          <w:szCs w:val="32"/>
        </w:rPr>
        <w:t>(</w:t>
      </w:r>
      <w:r>
        <w:rPr>
          <w:rFonts w:hint="eastAsia" w:ascii="仿宋_GB2312" w:eastAsia="仿宋_GB2312"/>
          <w:sz w:val="32"/>
          <w:szCs w:val="32"/>
        </w:rPr>
        <w:t>人事</w:t>
      </w:r>
      <w:r>
        <w:rPr>
          <w:rFonts w:ascii="仿宋_GB2312" w:eastAsia="仿宋_GB2312"/>
          <w:sz w:val="32"/>
          <w:szCs w:val="32"/>
        </w:rPr>
        <w:t>)</w:t>
      </w:r>
      <w:r>
        <w:rPr>
          <w:rFonts w:hint="eastAsia" w:ascii="仿宋_GB2312" w:eastAsia="仿宋_GB2312"/>
          <w:sz w:val="32"/>
          <w:szCs w:val="32"/>
        </w:rPr>
        <w:t>、纪检监察、审计、财务工作的内设机构正职岗位：</w:t>
      </w:r>
    </w:p>
    <w:p>
      <w:pPr>
        <w:shd w:val="clear"/>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夫妻关系</w:t>
      </w:r>
      <w:r>
        <w:rPr>
          <w:rFonts w:ascii="仿宋_GB2312" w:eastAsia="仿宋_GB2312"/>
          <w:sz w:val="32"/>
          <w:szCs w:val="32"/>
        </w:rPr>
        <w:t>;</w:t>
      </w:r>
    </w:p>
    <w:p>
      <w:pPr>
        <w:shd w:val="clear"/>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直系血亲关系，包括祖父母、外祖父母、父母、子女、孙子女、外孙子女</w:t>
      </w:r>
      <w:r>
        <w:rPr>
          <w:rFonts w:ascii="仿宋_GB2312" w:eastAsia="仿宋_GB2312"/>
          <w:sz w:val="32"/>
          <w:szCs w:val="32"/>
        </w:rPr>
        <w:t>;</w:t>
      </w:r>
    </w:p>
    <w:p>
      <w:pPr>
        <w:shd w:val="clear"/>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三代以内旁系血亲关系，包括叔伯姑舅姨、兄弟姐妹、堂兄弟姐妹、表兄弟姐妹、侄子女、甥子女</w:t>
      </w:r>
      <w:r>
        <w:rPr>
          <w:rFonts w:ascii="仿宋_GB2312" w:eastAsia="仿宋_GB2312"/>
          <w:sz w:val="32"/>
          <w:szCs w:val="32"/>
        </w:rPr>
        <w:t>;</w:t>
      </w:r>
    </w:p>
    <w:p>
      <w:pPr>
        <w:shd w:val="clear"/>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近姻亲关系，包括配偶的父母、配偶的兄弟姐妹及其配偶、子女的配偶及子女配偶的父母、三代以内旁系血亲的配偶</w:t>
      </w:r>
      <w:r>
        <w:rPr>
          <w:rFonts w:ascii="仿宋_GB2312" w:eastAsia="仿宋_GB2312"/>
          <w:sz w:val="32"/>
          <w:szCs w:val="32"/>
        </w:rPr>
        <w:t>;</w:t>
      </w:r>
    </w:p>
    <w:p>
      <w:pPr>
        <w:shd w:val="clear"/>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其他亲属关系，包括养父母子女、形成抚养关系的继父母子女及由此形成的直系血亲、三代以内旁系血亲和近姻亲关系。</w:t>
      </w:r>
    </w:p>
    <w:p>
      <w:pPr>
        <w:shd w:val="clear"/>
        <w:spacing w:line="560" w:lineRule="exact"/>
        <w:ind w:firstLine="640" w:firstLineChars="200"/>
        <w:rPr>
          <w:rFonts w:ascii="仿宋_GB2312" w:eastAsia="仿宋_GB2312"/>
          <w:sz w:val="32"/>
          <w:szCs w:val="32"/>
        </w:rPr>
      </w:pPr>
      <w:r>
        <w:rPr>
          <w:rFonts w:hint="eastAsia" w:ascii="仿宋_GB2312" w:eastAsia="仿宋_GB2312"/>
          <w:sz w:val="32"/>
          <w:szCs w:val="32"/>
        </w:rPr>
        <w:t>所称直接上下级领导关系包括：</w:t>
      </w:r>
    </w:p>
    <w:p>
      <w:pPr>
        <w:shd w:val="clear"/>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领导班子正职与副职</w:t>
      </w:r>
      <w:r>
        <w:rPr>
          <w:rFonts w:ascii="仿宋_GB2312" w:eastAsia="仿宋_GB2312"/>
          <w:sz w:val="32"/>
          <w:szCs w:val="32"/>
        </w:rPr>
        <w:t>;</w:t>
      </w:r>
    </w:p>
    <w:p>
      <w:pPr>
        <w:shd w:val="clear"/>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同一内设机构正职与副职</w:t>
      </w:r>
      <w:r>
        <w:rPr>
          <w:rFonts w:ascii="仿宋_GB2312" w:eastAsia="仿宋_GB2312"/>
          <w:sz w:val="32"/>
          <w:szCs w:val="32"/>
        </w:rPr>
        <w:t>;</w:t>
      </w:r>
    </w:p>
    <w:p>
      <w:pPr>
        <w:shd w:val="clear"/>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上级正职、副职与下级正职</w:t>
      </w:r>
      <w:r>
        <w:rPr>
          <w:rFonts w:ascii="仿宋_GB2312" w:eastAsia="仿宋_GB2312"/>
          <w:sz w:val="32"/>
          <w:szCs w:val="32"/>
        </w:rPr>
        <w:t>;</w:t>
      </w:r>
    </w:p>
    <w:p>
      <w:pPr>
        <w:shd w:val="clear"/>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单位无内设机构的，其正职、副职与其他管理人员以及从事审计、财务工作的专业技术人员</w:t>
      </w:r>
      <w:r>
        <w:rPr>
          <w:rFonts w:ascii="仿宋_GB2312" w:eastAsia="仿宋_GB2312"/>
          <w:sz w:val="32"/>
          <w:szCs w:val="32"/>
        </w:rPr>
        <w:t>;</w:t>
      </w:r>
    </w:p>
    <w:p>
      <w:pPr>
        <w:shd w:val="clear"/>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内设机构无下一级单位的，其正职、副职与其他管理人员以及从事审计、财务工作的专业技术人员。</w:t>
      </w:r>
    </w:p>
    <w:p>
      <w:pPr>
        <w:shd w:val="clear"/>
        <w:spacing w:line="560" w:lineRule="exact"/>
        <w:ind w:firstLine="640" w:firstLineChars="200"/>
        <w:rPr>
          <w:rFonts w:ascii="仿宋_GB2312" w:eastAsia="仿宋_GB2312"/>
          <w:sz w:val="32"/>
          <w:szCs w:val="32"/>
        </w:rPr>
      </w:pPr>
      <w:r>
        <w:rPr>
          <w:rFonts w:hint="eastAsia" w:ascii="仿宋_GB2312" w:eastAsia="仿宋_GB2312"/>
          <w:sz w:val="32"/>
          <w:szCs w:val="32"/>
        </w:rPr>
        <w:t>从事招聘工作的人员存在应当回避情形的，须实行履职回避。</w:t>
      </w:r>
    </w:p>
    <w:p>
      <w:pPr>
        <w:shd w:val="clea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四、年龄、资格（历）等的计算办法</w:t>
      </w:r>
      <w:bookmarkEnd w:id="11"/>
    </w:p>
    <w:p>
      <w:pPr>
        <w:shd w:val="clea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如无特别说明，相关年限的计算、证书取得时间等，均指计算截至报名截止当月，即2024年4月。</w:t>
      </w:r>
    </w:p>
    <w:p>
      <w:pPr>
        <w:shd w:val="clear"/>
        <w:snapToGrid w:val="0"/>
        <w:spacing w:line="560" w:lineRule="exact"/>
        <w:ind w:firstLine="643" w:firstLineChars="200"/>
        <w:outlineLvl w:val="1"/>
        <w:rPr>
          <w:rFonts w:ascii="楷体_GB2312" w:hAnsi="楷体_GB2312" w:eastAsia="楷体_GB2312" w:cs="楷体_GB2312"/>
          <w:b/>
          <w:sz w:val="32"/>
          <w:szCs w:val="32"/>
        </w:rPr>
      </w:pPr>
      <w:r>
        <w:rPr>
          <w:rFonts w:hint="eastAsia" w:ascii="楷体_GB2312" w:hAnsi="楷体_GB2312" w:eastAsia="楷体_GB2312" w:cs="楷体_GB2312"/>
          <w:b/>
          <w:sz w:val="32"/>
          <w:szCs w:val="32"/>
        </w:rPr>
        <w:t>（一）年龄</w:t>
      </w:r>
    </w:p>
    <w:p>
      <w:pPr>
        <w:shd w:val="clear"/>
        <w:snapToGrid w:val="0"/>
        <w:spacing w:line="560" w:lineRule="exact"/>
        <w:ind w:firstLine="640" w:firstLineChars="200"/>
        <w:rPr>
          <w:rFonts w:ascii="楷体_GB2312" w:hAnsi="楷体_GB2312" w:eastAsia="楷体_GB2312" w:cs="楷体_GB2312"/>
          <w:sz w:val="32"/>
          <w:szCs w:val="32"/>
        </w:rPr>
      </w:pPr>
      <w:r>
        <w:rPr>
          <w:rFonts w:hint="eastAsia" w:ascii="仿宋_GB2312" w:hAnsi="仿宋_GB2312" w:eastAsia="仿宋_GB2312" w:cs="仿宋_GB2312"/>
          <w:sz w:val="32"/>
          <w:szCs w:val="32"/>
        </w:rPr>
        <w:t>最高年龄要求35周岁是指已满18周岁、未满36周岁（在1988年4月至2006年4月期间出生的人员），具体计算到月。其他最高年龄要求的计算方法以此类推。</w:t>
      </w:r>
    </w:p>
    <w:p>
      <w:pPr>
        <w:shd w:val="clear"/>
        <w:snapToGrid w:val="0"/>
        <w:spacing w:line="560" w:lineRule="exact"/>
        <w:ind w:firstLine="643" w:firstLineChars="200"/>
        <w:outlineLvl w:val="1"/>
        <w:rPr>
          <w:rFonts w:ascii="楷体_GB2312" w:hAnsi="楷体_GB2312" w:eastAsia="楷体_GB2312" w:cs="楷体_GB2312"/>
          <w:b/>
          <w:sz w:val="32"/>
          <w:szCs w:val="32"/>
        </w:rPr>
      </w:pPr>
      <w:r>
        <w:rPr>
          <w:rFonts w:hint="eastAsia" w:ascii="楷体_GB2312" w:hAnsi="楷体_GB2312" w:eastAsia="楷体_GB2312" w:cs="楷体_GB2312"/>
          <w:b/>
          <w:sz w:val="32"/>
          <w:szCs w:val="32"/>
        </w:rPr>
        <w:t>（二）资格（历）等</w:t>
      </w:r>
    </w:p>
    <w:p>
      <w:pPr>
        <w:shd w:val="clea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岗位资格条件、《简章》和《报考须知》要求具有××条件以上的，如无特别说明，均含本数。如：具有2年以上工作经验，指截至报名截止当月具有2年或2年以上工作经验。</w:t>
      </w:r>
    </w:p>
    <w:p>
      <w:pPr>
        <w:shd w:val="clear"/>
        <w:snapToGrid w:val="0"/>
        <w:spacing w:line="560" w:lineRule="exact"/>
        <w:ind w:firstLine="640" w:firstLineChars="200"/>
        <w:outlineLvl w:val="0"/>
        <w:rPr>
          <w:rFonts w:ascii="黑体" w:hAnsi="黑体" w:eastAsia="黑体" w:cs="黑体"/>
          <w:sz w:val="32"/>
          <w:szCs w:val="32"/>
        </w:rPr>
      </w:pPr>
      <w:bookmarkStart w:id="12" w:name="_Toc70495074"/>
      <w:r>
        <w:rPr>
          <w:rFonts w:hint="eastAsia" w:ascii="黑体" w:hAnsi="黑体" w:eastAsia="黑体" w:cs="黑体"/>
          <w:sz w:val="32"/>
          <w:szCs w:val="32"/>
        </w:rPr>
        <w:t>五、学历（位）认定</w:t>
      </w:r>
      <w:bookmarkEnd w:id="12"/>
    </w:p>
    <w:p>
      <w:pPr>
        <w:shd w:val="clear"/>
        <w:spacing w:line="560" w:lineRule="exact"/>
        <w:ind w:firstLine="640" w:firstLineChars="200"/>
        <w:rPr>
          <w:rFonts w:ascii="楷体" w:hAnsi="楷体" w:eastAsia="楷体"/>
          <w:b/>
          <w:sz w:val="32"/>
          <w:szCs w:val="32"/>
        </w:rPr>
      </w:pPr>
      <w:r>
        <w:rPr>
          <w:rFonts w:hint="eastAsia" w:ascii="仿宋_GB2312" w:eastAsia="仿宋_GB2312"/>
          <w:sz w:val="32"/>
          <w:szCs w:val="32"/>
        </w:rPr>
        <w:t>报考者的学历应为国家承认的国民教育序列学历。</w:t>
      </w:r>
    </w:p>
    <w:p>
      <w:pPr>
        <w:shd w:val="clear"/>
        <w:snapToGrid w:val="0"/>
        <w:spacing w:line="560" w:lineRule="exact"/>
        <w:ind w:firstLine="643" w:firstLineChars="200"/>
        <w:outlineLvl w:val="1"/>
        <w:rPr>
          <w:rFonts w:ascii="楷体_GB2312" w:hAnsi="楷体_GB2312" w:eastAsia="楷体_GB2312" w:cs="楷体_GB2312"/>
          <w:b/>
          <w:sz w:val="32"/>
          <w:szCs w:val="32"/>
        </w:rPr>
      </w:pPr>
      <w:bookmarkStart w:id="13" w:name="_Toc19057"/>
      <w:bookmarkStart w:id="14" w:name="_Toc82669408"/>
      <w:r>
        <w:rPr>
          <w:rFonts w:hint="eastAsia" w:ascii="楷体_GB2312" w:hAnsi="楷体_GB2312" w:eastAsia="楷体_GB2312" w:cs="楷体_GB2312"/>
          <w:b/>
          <w:sz w:val="32"/>
          <w:szCs w:val="32"/>
        </w:rPr>
        <w:t>（一）境内学历（位）</w:t>
      </w:r>
      <w:bookmarkEnd w:id="13"/>
    </w:p>
    <w:p>
      <w:pPr>
        <w:shd w:val="clear"/>
        <w:spacing w:line="560" w:lineRule="exact"/>
        <w:ind w:firstLine="640" w:firstLineChars="200"/>
        <w:rPr>
          <w:rFonts w:ascii="仿宋_GB2312" w:eastAsia="仿宋_GB2312"/>
          <w:strike/>
          <w:sz w:val="32"/>
          <w:szCs w:val="32"/>
        </w:rPr>
      </w:pPr>
      <w:r>
        <w:rPr>
          <w:rFonts w:hint="eastAsia" w:ascii="仿宋_GB2312" w:eastAsia="仿宋_GB2312"/>
          <w:sz w:val="32"/>
          <w:szCs w:val="32"/>
        </w:rPr>
        <w:t>用于报考的学历（位）（含自学考试、成人教育、网络教育、夜大、电大等）应在中国高等教育学生信息网（简称“学信网”，http://www.chsi.com.cn/）上可查询认证。已取得国家承认的列入国民教育序列学历的报考者，以辅修专业报考的，其专业资格也可以按照本人同时收录在“学信网”“学信档案”版块“学历信息”和“学位信息”栏目的辅修专业信息予以认定。</w:t>
      </w:r>
    </w:p>
    <w:p>
      <w:pPr>
        <w:shd w:val="clear"/>
        <w:snapToGrid w:val="0"/>
        <w:spacing w:line="560" w:lineRule="exact"/>
        <w:ind w:firstLine="643" w:firstLineChars="200"/>
        <w:outlineLvl w:val="1"/>
        <w:rPr>
          <w:rFonts w:ascii="楷体_GB2312" w:hAnsi="楷体_GB2312" w:eastAsia="楷体_GB2312" w:cs="楷体_GB2312"/>
          <w:b/>
          <w:sz w:val="32"/>
          <w:szCs w:val="32"/>
        </w:rPr>
      </w:pPr>
      <w:bookmarkStart w:id="15" w:name="_Toc2804"/>
      <w:r>
        <w:rPr>
          <w:rFonts w:hint="eastAsia" w:ascii="楷体_GB2312" w:hAnsi="楷体_GB2312" w:eastAsia="楷体_GB2312" w:cs="楷体_GB2312"/>
          <w:b/>
          <w:sz w:val="32"/>
          <w:szCs w:val="32"/>
        </w:rPr>
        <w:t>（二）第二学士学位</w:t>
      </w:r>
      <w:bookmarkEnd w:id="15"/>
    </w:p>
    <w:p>
      <w:pPr>
        <w:shd w:val="clear"/>
        <w:spacing w:line="560" w:lineRule="exact"/>
        <w:ind w:firstLine="640" w:firstLineChars="200"/>
        <w:rPr>
          <w:rFonts w:ascii="仿宋_GB2312" w:eastAsia="仿宋_GB2312"/>
          <w:sz w:val="32"/>
          <w:szCs w:val="32"/>
        </w:rPr>
      </w:pPr>
      <w:r>
        <w:rPr>
          <w:rFonts w:hint="eastAsia" w:ascii="仿宋_GB2312" w:eastAsia="仿宋_GB2312"/>
          <w:sz w:val="32"/>
          <w:szCs w:val="32"/>
        </w:rPr>
        <w:t>根据《教育部办公厅关于在普通高校继续开展第二学士学位教育的通知》（教高厅函〔2020〕9号）取得第二学士学位的毕业证书和学位证书，按上述要求进行查询认证。</w:t>
      </w:r>
    </w:p>
    <w:p>
      <w:pPr>
        <w:shd w:val="clear"/>
        <w:snapToGrid w:val="0"/>
        <w:spacing w:line="560" w:lineRule="exact"/>
        <w:ind w:firstLine="643" w:firstLineChars="200"/>
        <w:outlineLvl w:val="1"/>
        <w:rPr>
          <w:rFonts w:ascii="楷体_GB2312" w:hAnsi="楷体_GB2312" w:eastAsia="楷体_GB2312" w:cs="楷体_GB2312"/>
          <w:b/>
          <w:sz w:val="32"/>
          <w:szCs w:val="32"/>
        </w:rPr>
      </w:pPr>
      <w:bookmarkStart w:id="16" w:name="_Toc10245"/>
      <w:r>
        <w:rPr>
          <w:rFonts w:hint="eastAsia" w:ascii="楷体_GB2312" w:hAnsi="楷体_GB2312" w:eastAsia="楷体_GB2312" w:cs="楷体_GB2312"/>
          <w:b/>
          <w:sz w:val="32"/>
          <w:szCs w:val="32"/>
        </w:rPr>
        <w:t>（三）境外学历（位）</w:t>
      </w:r>
      <w:bookmarkEnd w:id="16"/>
    </w:p>
    <w:p>
      <w:pPr>
        <w:shd w:val="clear"/>
        <w:spacing w:line="560" w:lineRule="exact"/>
        <w:ind w:firstLine="640" w:firstLineChars="200"/>
        <w:rPr>
          <w:rFonts w:ascii="仿宋_GB2312" w:eastAsia="仿宋_GB2312"/>
          <w:sz w:val="32"/>
          <w:szCs w:val="32"/>
        </w:rPr>
      </w:pPr>
      <w:r>
        <w:rPr>
          <w:rFonts w:hint="eastAsia" w:ascii="仿宋_GB2312" w:eastAsia="仿宋_GB2312"/>
          <w:sz w:val="32"/>
          <w:szCs w:val="32"/>
        </w:rPr>
        <w:t>持境外学历（位）报考的，或者属于国内院校与国外院校联合办学取得境外学历（位）的，应提供教育部留学服务中心出具的有效证明材料。</w:t>
      </w:r>
    </w:p>
    <w:p>
      <w:pPr>
        <w:shd w:val="clear"/>
        <w:snapToGrid w:val="0"/>
        <w:spacing w:line="560" w:lineRule="exact"/>
        <w:ind w:firstLine="643" w:firstLineChars="200"/>
        <w:outlineLvl w:val="1"/>
        <w:rPr>
          <w:rFonts w:ascii="楷体_GB2312" w:hAnsi="楷体_GB2312" w:eastAsia="楷体_GB2312" w:cs="楷体_GB2312"/>
          <w:b/>
          <w:sz w:val="32"/>
          <w:szCs w:val="32"/>
        </w:rPr>
      </w:pPr>
      <w:bookmarkStart w:id="17" w:name="_Toc15473"/>
      <w:r>
        <w:rPr>
          <w:rFonts w:hint="eastAsia" w:ascii="楷体_GB2312" w:hAnsi="楷体_GB2312" w:eastAsia="楷体_GB2312" w:cs="楷体_GB2312"/>
          <w:b/>
          <w:sz w:val="32"/>
          <w:szCs w:val="32"/>
        </w:rPr>
        <w:t>（四）我省“双学位”“双专业”学历</w:t>
      </w:r>
      <w:bookmarkEnd w:id="17"/>
    </w:p>
    <w:p>
      <w:pPr>
        <w:widowControl/>
        <w:shd w:val="clear"/>
        <w:spacing w:line="560" w:lineRule="exact"/>
        <w:ind w:firstLine="600"/>
        <w:jc w:val="left"/>
        <w:rPr>
          <w:rFonts w:ascii="仿宋_GB2312" w:eastAsia="仿宋_GB2312"/>
          <w:sz w:val="32"/>
          <w:szCs w:val="32"/>
        </w:rPr>
      </w:pPr>
      <w:r>
        <w:rPr>
          <w:rFonts w:hint="eastAsia" w:ascii="仿宋_GB2312" w:eastAsia="仿宋_GB2312"/>
          <w:sz w:val="32"/>
          <w:szCs w:val="32"/>
        </w:rPr>
        <w:t>根据《关于在全省高校毕业生中试行“双学位”“双专业”教育的意见》（闽教高〔2009〕9号），经修读达到毕业条件并获得“双学位”“双专业”证书的报考者，在本省范围内承认其学历、学位。</w:t>
      </w:r>
    </w:p>
    <w:p>
      <w:pPr>
        <w:shd w:val="clear"/>
        <w:snapToGrid w:val="0"/>
        <w:spacing w:line="560" w:lineRule="exact"/>
        <w:ind w:firstLine="643" w:firstLineChars="200"/>
        <w:outlineLvl w:val="1"/>
        <w:rPr>
          <w:rFonts w:ascii="楷体_GB2312" w:hAnsi="楷体_GB2312" w:eastAsia="楷体_GB2312" w:cs="楷体_GB2312"/>
          <w:b/>
          <w:sz w:val="32"/>
          <w:szCs w:val="32"/>
        </w:rPr>
      </w:pPr>
      <w:r>
        <w:rPr>
          <w:rFonts w:hint="eastAsia" w:ascii="楷体_GB2312" w:hAnsi="楷体_GB2312" w:eastAsia="楷体_GB2312" w:cs="楷体_GB2312"/>
          <w:b/>
          <w:sz w:val="32"/>
          <w:szCs w:val="32"/>
        </w:rPr>
        <w:t>（五）提醒事项</w:t>
      </w:r>
      <w:bookmarkEnd w:id="14"/>
    </w:p>
    <w:p>
      <w:pPr>
        <w:shd w:val="clear"/>
        <w:spacing w:line="560" w:lineRule="exact"/>
        <w:ind w:firstLine="640" w:firstLineChars="200"/>
        <w:rPr>
          <w:rFonts w:ascii="仿宋_GB2312" w:eastAsia="仿宋_GB2312"/>
          <w:sz w:val="32"/>
          <w:szCs w:val="32"/>
        </w:rPr>
      </w:pPr>
      <w:bookmarkStart w:id="18" w:name="_Toc70495075"/>
      <w:r>
        <w:rPr>
          <w:rFonts w:hint="eastAsia" w:ascii="仿宋_GB2312" w:eastAsia="仿宋_GB2312"/>
          <w:sz w:val="32"/>
          <w:szCs w:val="32"/>
        </w:rPr>
        <w:t>1.面试资格复核时，招聘单位将对学历（位）进行核查，请考生按照上述要求，提前做好相应认证报告或网上查验准备。</w:t>
      </w:r>
    </w:p>
    <w:p>
      <w:pPr>
        <w:shd w:val="clear"/>
        <w:spacing w:line="560" w:lineRule="exact"/>
        <w:ind w:firstLine="640" w:firstLineChars="200"/>
        <w:rPr>
          <w:rFonts w:ascii="仿宋_GB2312" w:eastAsia="仿宋_GB2312"/>
          <w:sz w:val="32"/>
          <w:szCs w:val="32"/>
        </w:rPr>
      </w:pPr>
      <w:r>
        <w:rPr>
          <w:rFonts w:hint="eastAsia" w:ascii="仿宋_GB2312" w:eastAsia="仿宋_GB2312"/>
          <w:sz w:val="32"/>
          <w:szCs w:val="32"/>
        </w:rPr>
        <w:t>2.2024届高校毕业生在岗位资格复核时，尚无法提供学历（位）证书及其认证材料原件的，须提供有效的《全国普通高等学校毕业生就业协议书》或相关证明，且本科及以下学历毕业生须于2024年9月30日前、研究生学历毕业生须于2024年12月31日前取得并能提供符合岗位报考资格条件的学历（位）证书及其认证材料，否则视为自动放弃考试（聘用）资格。</w:t>
      </w:r>
    </w:p>
    <w:p>
      <w:pPr>
        <w:shd w:val="clear"/>
        <w:snapToGrid w:val="0"/>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六、专业</w:t>
      </w:r>
      <w:bookmarkEnd w:id="18"/>
    </w:p>
    <w:p>
      <w:pPr>
        <w:shd w:val="clear"/>
        <w:spacing w:line="560" w:lineRule="exact"/>
        <w:ind w:firstLine="640" w:firstLineChars="200"/>
        <w:rPr>
          <w:rFonts w:ascii="仿宋_GB2312" w:eastAsia="仿宋_GB2312"/>
          <w:sz w:val="32"/>
          <w:szCs w:val="32"/>
          <w:bdr w:val="single" w:color="auto" w:sz="4" w:space="0"/>
        </w:rPr>
      </w:pPr>
      <w:r>
        <w:rPr>
          <w:rFonts w:hint="eastAsia" w:ascii="仿宋_GB2312" w:eastAsia="仿宋_GB2312"/>
          <w:sz w:val="32"/>
          <w:szCs w:val="32"/>
        </w:rPr>
        <w:t>本次招考以《福建省机关事业单位招考专业指导目录（2024年）》（文中简称《专业指导目录》）作为岗位专业条件设置和审核的依据。其他来源的专业指导目录不作为本次报考和审核的依据。</w:t>
      </w:r>
    </w:p>
    <w:p>
      <w:pPr>
        <w:shd w:val="clear"/>
        <w:snapToGrid w:val="0"/>
        <w:spacing w:line="560" w:lineRule="exact"/>
        <w:ind w:firstLine="643" w:firstLineChars="200"/>
        <w:outlineLvl w:val="1"/>
        <w:rPr>
          <w:rFonts w:ascii="楷体_GB2312" w:hAnsi="楷体_GB2312" w:eastAsia="楷体_GB2312" w:cs="楷体_GB2312"/>
          <w:b/>
          <w:sz w:val="32"/>
          <w:szCs w:val="32"/>
        </w:rPr>
      </w:pPr>
      <w:bookmarkStart w:id="19" w:name="_Toc3675"/>
      <w:r>
        <w:rPr>
          <w:rFonts w:hint="eastAsia" w:ascii="楷体_GB2312" w:hAnsi="楷体_GB2312" w:eastAsia="楷体_GB2312" w:cs="楷体_GB2312"/>
          <w:b/>
          <w:sz w:val="32"/>
          <w:szCs w:val="32"/>
        </w:rPr>
        <w:t>（一）填报专业名称</w:t>
      </w:r>
      <w:bookmarkEnd w:id="19"/>
    </w:p>
    <w:p>
      <w:pPr>
        <w:shd w:val="clear"/>
        <w:spacing w:line="560" w:lineRule="exact"/>
        <w:ind w:firstLine="640" w:firstLineChars="200"/>
        <w:rPr>
          <w:rFonts w:ascii="仿宋_GB2312" w:eastAsia="仿宋_GB2312"/>
          <w:sz w:val="32"/>
          <w:szCs w:val="32"/>
        </w:rPr>
      </w:pPr>
      <w:r>
        <w:rPr>
          <w:rFonts w:ascii="仿宋_GB2312" w:eastAsia="仿宋_GB2312"/>
          <w:sz w:val="32"/>
          <w:szCs w:val="32"/>
        </w:rPr>
        <w:t>专业以毕业证书上注明的为准，报考者应</w:t>
      </w:r>
      <w:r>
        <w:rPr>
          <w:rFonts w:ascii="仿宋_GB2312" w:eastAsia="仿宋_GB2312"/>
          <w:b/>
          <w:bCs/>
          <w:sz w:val="32"/>
          <w:szCs w:val="32"/>
        </w:rPr>
        <w:t>只字不差、如实填写</w:t>
      </w:r>
      <w:r>
        <w:rPr>
          <w:rFonts w:ascii="仿宋_GB2312" w:eastAsia="仿宋_GB2312"/>
          <w:sz w:val="32"/>
          <w:szCs w:val="32"/>
        </w:rPr>
        <w:t>。</w:t>
      </w:r>
    </w:p>
    <w:p>
      <w:pPr>
        <w:shd w:val="clear"/>
        <w:spacing w:line="560" w:lineRule="exact"/>
        <w:ind w:firstLine="640" w:firstLineChars="200"/>
        <w:rPr>
          <w:rFonts w:ascii="仿宋_GB2312" w:eastAsia="仿宋_GB2312"/>
          <w:sz w:val="32"/>
          <w:szCs w:val="32"/>
        </w:rPr>
      </w:pPr>
      <w:r>
        <w:rPr>
          <w:rFonts w:ascii="仿宋_GB2312" w:eastAsia="仿宋_GB2312"/>
          <w:sz w:val="32"/>
          <w:szCs w:val="32"/>
        </w:rPr>
        <w:t>若所学专业在招生和培养时有专业方向、但未在毕业证书上体现的，应先按照毕业证书上注明的专业填写，并在网络报名系统的考生信息表备注栏中说明，再按照</w:t>
      </w:r>
      <w:r>
        <w:rPr>
          <w:rFonts w:hint="eastAsia" w:ascii="仿宋_GB2312" w:eastAsia="仿宋_GB2312"/>
          <w:sz w:val="32"/>
          <w:szCs w:val="32"/>
        </w:rPr>
        <w:t>招聘</w:t>
      </w:r>
      <w:r>
        <w:rPr>
          <w:rFonts w:ascii="仿宋_GB2312" w:eastAsia="仿宋_GB2312"/>
          <w:sz w:val="32"/>
          <w:szCs w:val="32"/>
        </w:rPr>
        <w:t>单位要求提供学校教务部门出具的证明材料。</w:t>
      </w:r>
    </w:p>
    <w:p>
      <w:pPr>
        <w:shd w:val="clear"/>
        <w:spacing w:line="560" w:lineRule="exact"/>
        <w:ind w:firstLine="640" w:firstLineChars="200"/>
        <w:rPr>
          <w:rFonts w:ascii="仿宋_GB2312" w:eastAsia="仿宋_GB2312"/>
          <w:sz w:val="32"/>
          <w:szCs w:val="32"/>
        </w:rPr>
      </w:pPr>
      <w:r>
        <w:rPr>
          <w:rFonts w:ascii="仿宋_GB2312" w:eastAsia="仿宋_GB2312"/>
          <w:sz w:val="32"/>
          <w:szCs w:val="32"/>
        </w:rPr>
        <w:t>以境外学历报考且专业名称为非汉语的，以教育部留学服务中心出具的相关证明为准。</w:t>
      </w:r>
    </w:p>
    <w:p>
      <w:pPr>
        <w:shd w:val="clear"/>
        <w:snapToGrid w:val="0"/>
        <w:spacing w:line="560" w:lineRule="exact"/>
        <w:ind w:firstLine="643" w:firstLineChars="200"/>
        <w:outlineLvl w:val="1"/>
        <w:rPr>
          <w:rFonts w:ascii="楷体_GB2312" w:hAnsi="楷体_GB2312" w:eastAsia="楷体_GB2312" w:cs="楷体_GB2312"/>
          <w:b/>
          <w:sz w:val="32"/>
          <w:szCs w:val="32"/>
        </w:rPr>
      </w:pPr>
      <w:bookmarkStart w:id="20" w:name="_Toc16768"/>
      <w:r>
        <w:rPr>
          <w:rFonts w:hint="eastAsia" w:ascii="楷体_GB2312" w:hAnsi="楷体_GB2312" w:eastAsia="楷体_GB2312" w:cs="楷体_GB2312"/>
          <w:b/>
          <w:sz w:val="32"/>
          <w:szCs w:val="32"/>
        </w:rPr>
        <w:t>（二）专业与学历（位）的对应关系</w:t>
      </w:r>
      <w:bookmarkEnd w:id="20"/>
    </w:p>
    <w:p>
      <w:pPr>
        <w:shd w:val="clear"/>
        <w:spacing w:line="560" w:lineRule="exact"/>
        <w:ind w:firstLine="640" w:firstLineChars="200"/>
        <w:rPr>
          <w:rFonts w:ascii="仿宋_GB2312" w:eastAsia="仿宋_GB2312"/>
          <w:sz w:val="32"/>
          <w:szCs w:val="32"/>
        </w:rPr>
      </w:pPr>
      <w:r>
        <w:rPr>
          <w:rFonts w:hint="eastAsia" w:ascii="仿宋_GB2312" w:eastAsia="仿宋_GB2312"/>
          <w:sz w:val="32"/>
          <w:szCs w:val="32"/>
        </w:rPr>
        <w:t>岗位所需专业与报考者的毕业证书专业应当一致，岗位资格条件要求的学历(位)原则上须为岗位所要求的专业对应的学历(位)及以上学历(位)，但报考者如果已符合岗位资格条件中最低学历(位)要求而持有岗位专业要求的同级或更高级学历或学位的，也可报考。</w:t>
      </w:r>
    </w:p>
    <w:p>
      <w:pPr>
        <w:shd w:val="clea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例如，岗位要求本科学历、学士学位、工商管理专业。</w:t>
      </w:r>
    </w:p>
    <w:p>
      <w:pPr>
        <w:shd w:val="clea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考生A：取得英语专业本科学历、学士学位，后读取工商管理专业硕士学位（单证，无学历），该考生可报考该岗位。</w:t>
      </w:r>
    </w:p>
    <w:p>
      <w:pPr>
        <w:shd w:val="clea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考生B：取得英语专业本科学历、学士学位，后攻读工商管理专业硕士研究生（仅取得研究生学历未获硕士学位），该考生可报考该岗位。</w:t>
      </w:r>
    </w:p>
    <w:p>
      <w:pPr>
        <w:shd w:val="clea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考生C：取得英语专业本科学历、学士学位，辅修工商管理专业取得学士学位，该考生可报考该岗位。</w:t>
      </w:r>
    </w:p>
    <w:p>
      <w:pPr>
        <w:shd w:val="clea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考生D：取得英语专业本科学历、学士学位，函授工商管理专业取得本科学历，该考生可报考该岗位。</w:t>
      </w:r>
    </w:p>
    <w:p>
      <w:pPr>
        <w:shd w:val="clea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考生E：取得工商管理专业大专学历，专升本取得英语专业本科学历、学士学位，该考生不能报考该岗位。</w:t>
      </w:r>
    </w:p>
    <w:p>
      <w:pPr>
        <w:shd w:val="clea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考生F：取得英语专业本科学历（未取得学士学位），取得工商管理专业硕士学位（无学历），该考生可报考该岗位。</w:t>
      </w:r>
    </w:p>
    <w:p>
      <w:pPr>
        <w:shd w:val="clear"/>
        <w:snapToGrid w:val="0"/>
        <w:spacing w:line="56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考生G：取得英语专业本科学历、学士学位，工商管理专业肄业，该考生不能报考该岗位</w:t>
      </w:r>
      <w:r>
        <w:rPr>
          <w:rFonts w:hint="eastAsia" w:ascii="仿宋_GB2312" w:hAnsi="仿宋_GB2312" w:eastAsia="仿宋_GB2312" w:cs="仿宋_GB2312"/>
          <w:sz w:val="32"/>
          <w:szCs w:val="32"/>
        </w:rPr>
        <w:t>。</w:t>
      </w:r>
    </w:p>
    <w:p>
      <w:pPr>
        <w:shd w:val="clear"/>
        <w:snapToGrid w:val="0"/>
        <w:spacing w:line="560" w:lineRule="exact"/>
        <w:ind w:firstLine="643" w:firstLineChars="200"/>
        <w:outlineLvl w:val="1"/>
        <w:rPr>
          <w:rFonts w:ascii="楷体_GB2312" w:hAnsi="楷体_GB2312" w:eastAsia="楷体_GB2312" w:cs="楷体_GB2312"/>
          <w:b/>
          <w:sz w:val="32"/>
          <w:szCs w:val="32"/>
        </w:rPr>
      </w:pPr>
      <w:bookmarkStart w:id="21" w:name="_Toc70495078"/>
      <w:r>
        <w:rPr>
          <w:rFonts w:hint="eastAsia" w:ascii="楷体_GB2312" w:hAnsi="楷体_GB2312" w:eastAsia="楷体_GB2312" w:cs="楷体_GB2312"/>
          <w:b/>
          <w:sz w:val="32"/>
          <w:szCs w:val="32"/>
        </w:rPr>
        <w:t>（三）专业资格的认定</w:t>
      </w:r>
      <w:bookmarkEnd w:id="21"/>
    </w:p>
    <w:p>
      <w:pPr>
        <w:shd w:val="clear"/>
        <w:snapToGrid w:val="0"/>
        <w:spacing w:line="56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1.将专业条件设置为“××类”的招聘岗位，报考者所学专业须符合《专业指导目录》中“××类”下所列专业；将专业条件设置为具体专业名称的，报考者所学专业须符合所列专业</w:t>
      </w:r>
      <w:r>
        <w:rPr>
          <w:rFonts w:hint="eastAsia" w:ascii="仿宋_GB2312" w:hAnsi="仿宋_GB2312" w:eastAsia="仿宋_GB2312" w:cs="仿宋_GB2312"/>
          <w:sz w:val="32"/>
          <w:szCs w:val="32"/>
        </w:rPr>
        <w:t>。</w:t>
      </w:r>
    </w:p>
    <w:p>
      <w:pPr>
        <w:shd w:val="clear"/>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专业要求“临床医学”专业的，含“临床医学”或“临床医学硕士”或“临床医学博士”，其他专业以此类推。</w:t>
      </w:r>
    </w:p>
    <w:p>
      <w:pPr>
        <w:shd w:val="clear"/>
        <w:spacing w:line="560" w:lineRule="exact"/>
        <w:ind w:firstLine="640" w:firstLineChars="200"/>
        <w:rPr>
          <w:rFonts w:ascii="仿宋_GB2312" w:eastAsia="仿宋_GB2312"/>
          <w:sz w:val="32"/>
          <w:szCs w:val="32"/>
        </w:rPr>
      </w:pPr>
      <w:r>
        <w:rPr>
          <w:rFonts w:hint="eastAsia" w:ascii="仿宋_GB2312" w:eastAsia="仿宋_GB2312"/>
          <w:sz w:val="32"/>
          <w:szCs w:val="32"/>
        </w:rPr>
        <w:t>2.岗位资格条件要求“专业方向”的，报考者需提供主干课程成绩表、论文发表情况、学校证明等有效凭证（下同），由招聘单位会同区卫健局确认。</w:t>
      </w:r>
    </w:p>
    <w:p>
      <w:pPr>
        <w:shd w:val="clear"/>
        <w:spacing w:line="560" w:lineRule="exact"/>
        <w:ind w:firstLine="640" w:firstLineChars="200"/>
        <w:rPr>
          <w:rFonts w:ascii="仿宋_GB2312" w:eastAsia="仿宋_GB2312"/>
          <w:sz w:val="32"/>
          <w:szCs w:val="32"/>
        </w:rPr>
      </w:pPr>
      <w:r>
        <w:rPr>
          <w:rFonts w:hint="eastAsia" w:ascii="仿宋_GB2312" w:eastAsia="仿宋_GB2312"/>
          <w:sz w:val="32"/>
          <w:szCs w:val="32"/>
        </w:rPr>
        <w:t>3.若报考者所学专业不在《专业指导目录》中，报考者须提供学历证、学位证、主干课程成绩表、论文发表情况、学校证明等有效凭证，由招聘单位会同主管部门、区人社局认定。报考者所学专业只字不差体现在《专业指导目录》中，但未列入招聘岗位所要求的专业，不得报考该岗位。</w:t>
      </w:r>
    </w:p>
    <w:p>
      <w:pPr>
        <w:shd w:val="clear"/>
        <w:snapToGrid w:val="0"/>
        <w:spacing w:line="560" w:lineRule="exact"/>
        <w:ind w:firstLine="640" w:firstLineChars="200"/>
        <w:outlineLvl w:val="0"/>
        <w:rPr>
          <w:rFonts w:ascii="黑体" w:hAnsi="黑体" w:eastAsia="黑体" w:cs="黑体"/>
          <w:sz w:val="32"/>
          <w:szCs w:val="32"/>
        </w:rPr>
      </w:pPr>
      <w:bookmarkStart w:id="22" w:name="_Toc70495079"/>
      <w:r>
        <w:rPr>
          <w:rFonts w:hint="eastAsia" w:ascii="黑体" w:hAnsi="黑体" w:eastAsia="黑体" w:cs="黑体"/>
          <w:sz w:val="32"/>
          <w:szCs w:val="32"/>
        </w:rPr>
        <w:t>七、工作经验</w:t>
      </w:r>
      <w:bookmarkEnd w:id="22"/>
    </w:p>
    <w:p>
      <w:pPr>
        <w:shd w:val="clear"/>
        <w:spacing w:line="560" w:lineRule="exact"/>
        <w:ind w:firstLine="640" w:firstLineChars="200"/>
        <w:rPr>
          <w:rFonts w:ascii="仿宋_GB2312" w:eastAsia="仿宋_GB2312"/>
          <w:sz w:val="32"/>
          <w:szCs w:val="32"/>
        </w:rPr>
      </w:pPr>
      <w:r>
        <w:rPr>
          <w:rFonts w:hint="eastAsia" w:ascii="仿宋_GB2312" w:eastAsia="仿宋_GB2312"/>
          <w:sz w:val="32"/>
          <w:szCs w:val="32"/>
        </w:rPr>
        <w:t>岗位资格条件要求的“专业工作经验”，应聘人员须提供养老保险缴费凭证或工资发放表等有效凭证、聘用</w:t>
      </w:r>
      <w:r>
        <w:rPr>
          <w:rFonts w:ascii="仿宋_GB2312" w:eastAsia="仿宋_GB2312"/>
          <w:sz w:val="32"/>
          <w:szCs w:val="32"/>
        </w:rPr>
        <w:t>(</w:t>
      </w:r>
      <w:r>
        <w:rPr>
          <w:rFonts w:hint="eastAsia" w:ascii="仿宋_GB2312" w:eastAsia="仿宋_GB2312"/>
          <w:sz w:val="32"/>
          <w:szCs w:val="32"/>
        </w:rPr>
        <w:t>劳动</w:t>
      </w:r>
      <w:r>
        <w:rPr>
          <w:rFonts w:ascii="仿宋_GB2312" w:eastAsia="仿宋_GB2312"/>
          <w:sz w:val="32"/>
          <w:szCs w:val="32"/>
        </w:rPr>
        <w:t>)</w:t>
      </w:r>
      <w:r>
        <w:rPr>
          <w:rFonts w:hint="eastAsia" w:ascii="仿宋_GB2312" w:eastAsia="仿宋_GB2312"/>
          <w:sz w:val="32"/>
          <w:szCs w:val="32"/>
        </w:rPr>
        <w:t>合同和所在单位出具的符合岗位条件要求的相关岗位的工作情况证明。全日制普通教育毕业生参加经人社部门核定的职业见习，若从事的工作与招聘岗位要求的专业工作经验相关，其毕业后的职业见习年限可视同工作经验年限。</w:t>
      </w:r>
    </w:p>
    <w:p>
      <w:pPr>
        <w:shd w:val="clear"/>
        <w:spacing w:line="560" w:lineRule="exact"/>
        <w:ind w:firstLine="640" w:firstLineChars="200"/>
        <w:rPr>
          <w:rFonts w:ascii="仿宋_GB2312" w:eastAsia="仿宋_GB2312"/>
          <w:sz w:val="32"/>
          <w:szCs w:val="32"/>
        </w:rPr>
      </w:pPr>
      <w:r>
        <w:rPr>
          <w:rFonts w:hint="eastAsia" w:ascii="仿宋_GB2312" w:eastAsia="仿宋_GB2312"/>
          <w:sz w:val="32"/>
          <w:szCs w:val="32"/>
        </w:rPr>
        <w:t>全日制普通教育期间的实习、社会实践经历(含兼职工作等)，不能视为工作经验。</w:t>
      </w:r>
    </w:p>
    <w:p>
      <w:pPr>
        <w:shd w:val="clear"/>
        <w:spacing w:line="560" w:lineRule="exact"/>
        <w:ind w:firstLine="640" w:firstLineChars="200"/>
        <w:rPr>
          <w:rFonts w:ascii="仿宋_GB2312" w:eastAsia="仿宋_GB2312"/>
          <w:sz w:val="32"/>
          <w:szCs w:val="32"/>
        </w:rPr>
      </w:pPr>
      <w:r>
        <w:rPr>
          <w:rFonts w:hint="eastAsia" w:ascii="仿宋_GB2312" w:eastAsia="仿宋_GB2312"/>
          <w:sz w:val="32"/>
          <w:szCs w:val="32"/>
        </w:rPr>
        <w:t>岗位资格条件要求的工作经验年限可以分段按月合并计算。不同单位的相同（似）工作经验证明可分别开具，累计计算。</w:t>
      </w:r>
    </w:p>
    <w:p>
      <w:pPr>
        <w:shd w:val="clear"/>
        <w:snapToGrid w:val="0"/>
        <w:spacing w:line="560" w:lineRule="exact"/>
        <w:ind w:firstLine="640" w:firstLineChars="200"/>
        <w:outlineLvl w:val="1"/>
        <w:rPr>
          <w:rFonts w:ascii="楷体_GB2312" w:hAnsi="楷体_GB2312" w:eastAsia="楷体_GB2312" w:cs="楷体_GB2312"/>
          <w:sz w:val="32"/>
          <w:szCs w:val="32"/>
        </w:rPr>
      </w:pPr>
      <w:bookmarkStart w:id="23" w:name="_Toc70495080"/>
      <w:r>
        <w:rPr>
          <w:rFonts w:hint="eastAsia" w:ascii="黑体" w:hAnsi="黑体" w:eastAsia="黑体" w:cs="黑体"/>
          <w:sz w:val="32"/>
          <w:szCs w:val="32"/>
        </w:rPr>
        <w:t>八、可免笔试情形</w:t>
      </w:r>
      <w:bookmarkEnd w:id="23"/>
    </w:p>
    <w:p>
      <w:pPr>
        <w:shd w:val="clear"/>
        <w:spacing w:line="560" w:lineRule="exact"/>
        <w:ind w:firstLine="640" w:firstLineChars="200"/>
        <w:rPr>
          <w:rFonts w:ascii="仿宋_GB2312" w:eastAsia="仿宋_GB2312"/>
          <w:sz w:val="32"/>
          <w:szCs w:val="32"/>
        </w:rPr>
      </w:pPr>
      <w:r>
        <w:rPr>
          <w:rFonts w:hint="eastAsia" w:ascii="仿宋_GB2312" w:eastAsia="仿宋_GB2312"/>
          <w:sz w:val="32"/>
          <w:szCs w:val="32"/>
        </w:rPr>
        <w:t>招聘岗位要求研究生学历或硕士以上学位或副高以上职称的，招聘组织单位可根据实际情况，准许具有与招聘岗位专业要求相一致的研究生学历或硕士以上学位（含应届毕业生）或副高以上专业技术职务任职资格的应聘人员免笔试直接参加面试，但当岗位符合条件的报名人数（指通过网上报名资格审核的人数，下同）与拟聘用人数比例超过5:1（不含5:1）时，所有报考人员均须参加笔试。</w:t>
      </w:r>
    </w:p>
    <w:p>
      <w:pPr>
        <w:shd w:val="clea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免笔试岗位由招聘单位及其主管部门于报名结束后，根据具体情况及时</w:t>
      </w:r>
      <w:r>
        <w:rPr>
          <w:rFonts w:hint="eastAsia" w:ascii="仿宋_GB2312" w:hAnsi="仿宋_GB2312" w:eastAsia="仿宋_GB2312" w:cs="仿宋_GB2312"/>
          <w:sz w:val="32"/>
          <w:szCs w:val="32"/>
        </w:rPr>
        <w:t>研究提出，经区人社局同意并事前报备市人社局</w:t>
      </w:r>
      <w:r>
        <w:rPr>
          <w:rFonts w:hint="eastAsia" w:ascii="仿宋_GB2312" w:eastAsia="仿宋_GB2312"/>
          <w:sz w:val="32"/>
          <w:szCs w:val="32"/>
        </w:rPr>
        <w:t>。</w:t>
      </w:r>
    </w:p>
    <w:p>
      <w:pPr>
        <w:shd w:val="clear"/>
        <w:snapToGrid w:val="0"/>
        <w:spacing w:line="560" w:lineRule="exact"/>
        <w:ind w:firstLine="640" w:firstLineChars="200"/>
        <w:outlineLvl w:val="1"/>
        <w:rPr>
          <w:rFonts w:ascii="黑体" w:hAnsi="黑体" w:eastAsia="黑体" w:cs="黑体"/>
          <w:sz w:val="32"/>
          <w:szCs w:val="32"/>
        </w:rPr>
      </w:pPr>
      <w:bookmarkStart w:id="24" w:name="_Toc70495082"/>
      <w:r>
        <w:rPr>
          <w:rFonts w:hint="eastAsia" w:ascii="黑体" w:hAnsi="黑体" w:eastAsia="黑体" w:cs="黑体"/>
          <w:sz w:val="32"/>
          <w:szCs w:val="32"/>
        </w:rPr>
        <w:t>九、岗位开考比例</w:t>
      </w:r>
      <w:bookmarkEnd w:id="24"/>
    </w:p>
    <w:p>
      <w:pPr>
        <w:shd w:val="clear"/>
        <w:spacing w:line="560" w:lineRule="exact"/>
        <w:ind w:firstLine="640" w:firstLineChars="200"/>
        <w:rPr>
          <w:rFonts w:ascii="仿宋_GB2312" w:eastAsia="仿宋_GB2312"/>
          <w:sz w:val="32"/>
          <w:szCs w:val="32"/>
        </w:rPr>
      </w:pPr>
      <w:r>
        <w:rPr>
          <w:rFonts w:hint="eastAsia" w:ascii="仿宋_GB2312" w:eastAsia="仿宋_GB2312"/>
          <w:sz w:val="32"/>
          <w:szCs w:val="32"/>
        </w:rPr>
        <w:t>符合岗位资格条件的报名人数与岗位拟聘人数比例达不到3:1的，原则上应相应减少招聘人数或取消开考。</w:t>
      </w:r>
    </w:p>
    <w:p>
      <w:pPr>
        <w:shd w:val="clea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按要求取消开考、减少招聘人数的岗位由招聘单位及其主管部门研究提出意见，经区人社局同意并报备市人社局</w:t>
      </w:r>
      <w:r>
        <w:rPr>
          <w:rFonts w:hint="eastAsia" w:ascii="仿宋_GB2312" w:eastAsia="仿宋_GB2312"/>
          <w:sz w:val="32"/>
          <w:szCs w:val="32"/>
        </w:rPr>
        <w:t>。</w:t>
      </w:r>
      <w:r>
        <w:rPr>
          <w:rFonts w:hint="eastAsia" w:ascii="仿宋_GB2312" w:hAnsi="仿宋_GB2312" w:eastAsia="仿宋_GB2312" w:cs="仿宋_GB2312"/>
          <w:sz w:val="32"/>
          <w:szCs w:val="32"/>
        </w:rPr>
        <w:t>情况特殊确需降低开考比例的岗位，由招聘单位及其主管部门研究提出意见，经区人社局同意并报市人社局批准。上述岗位开考情况将及时在“网上考务信息</w:t>
      </w:r>
      <w:r>
        <w:rPr>
          <w:rFonts w:hint="eastAsia" w:ascii="仿宋_GB2312" w:hAnsi="仿宋_GB2312" w:eastAsia="仿宋_GB2312" w:cs="仿宋_GB2312"/>
          <w:sz w:val="32"/>
          <w:szCs w:val="32"/>
          <w:lang w:eastAsia="zh-CN"/>
        </w:rPr>
        <w:t>通知</w:t>
      </w:r>
      <w:r>
        <w:rPr>
          <w:rFonts w:hint="eastAsia" w:ascii="仿宋_GB2312" w:hAnsi="仿宋_GB2312" w:eastAsia="仿宋_GB2312" w:cs="仿宋_GB2312"/>
          <w:sz w:val="32"/>
          <w:szCs w:val="32"/>
        </w:rPr>
        <w:t>”另行公告。</w:t>
      </w:r>
    </w:p>
    <w:p>
      <w:pPr>
        <w:shd w:val="clear"/>
        <w:snapToGrid w:val="0"/>
        <w:spacing w:line="560" w:lineRule="exact"/>
        <w:ind w:firstLine="640" w:firstLineChars="200"/>
        <w:outlineLvl w:val="0"/>
        <w:rPr>
          <w:rFonts w:ascii="黑体" w:hAnsi="黑体" w:eastAsia="黑体" w:cs="黑体"/>
          <w:sz w:val="32"/>
          <w:szCs w:val="32"/>
        </w:rPr>
      </w:pPr>
      <w:bookmarkStart w:id="25" w:name="_Toc70495084"/>
      <w:r>
        <w:rPr>
          <w:rFonts w:hint="eastAsia" w:ascii="黑体" w:hAnsi="黑体" w:eastAsia="黑体" w:cs="黑体"/>
          <w:sz w:val="32"/>
          <w:szCs w:val="32"/>
        </w:rPr>
        <w:t>十、笔试加分</w:t>
      </w:r>
      <w:bookmarkEnd w:id="25"/>
    </w:p>
    <w:p>
      <w:pPr>
        <w:shd w:val="clear"/>
        <w:snapToGrid w:val="0"/>
        <w:spacing w:line="560" w:lineRule="exact"/>
        <w:ind w:firstLine="643" w:firstLineChars="200"/>
        <w:outlineLvl w:val="1"/>
        <w:rPr>
          <w:rFonts w:ascii="楷体_GB2312" w:hAnsi="楷体_GB2312" w:eastAsia="楷体_GB2312" w:cs="楷体_GB2312"/>
          <w:b/>
          <w:sz w:val="32"/>
          <w:szCs w:val="32"/>
        </w:rPr>
      </w:pPr>
      <w:bookmarkStart w:id="26" w:name="_Toc70495085"/>
      <w:r>
        <w:rPr>
          <w:rFonts w:hint="eastAsia" w:ascii="楷体_GB2312" w:hAnsi="楷体_GB2312" w:eastAsia="楷体_GB2312" w:cs="楷体_GB2312"/>
          <w:b/>
          <w:sz w:val="32"/>
          <w:szCs w:val="32"/>
        </w:rPr>
        <w:t>（一）加分原则</w:t>
      </w:r>
      <w:bookmarkEnd w:id="26"/>
    </w:p>
    <w:p>
      <w:pPr>
        <w:shd w:val="clear"/>
        <w:spacing w:line="560" w:lineRule="exact"/>
        <w:ind w:firstLine="640" w:firstLineChars="200"/>
        <w:rPr>
          <w:rFonts w:ascii="仿宋_GB2312" w:eastAsia="仿宋_GB2312"/>
          <w:sz w:val="32"/>
          <w:szCs w:val="32"/>
        </w:rPr>
      </w:pPr>
      <w:bookmarkStart w:id="27" w:name="_Toc70495086"/>
      <w:r>
        <w:rPr>
          <w:rFonts w:hint="eastAsia" w:ascii="仿宋_GB2312" w:eastAsia="仿宋_GB2312"/>
          <w:sz w:val="32"/>
          <w:szCs w:val="32"/>
        </w:rPr>
        <w:t>笔试成绩=笔试卷面分+各项加分。</w:t>
      </w:r>
    </w:p>
    <w:p>
      <w:pPr>
        <w:shd w:val="clear"/>
        <w:spacing w:line="560" w:lineRule="exact"/>
        <w:ind w:firstLine="640" w:firstLineChars="200"/>
        <w:rPr>
          <w:rFonts w:ascii="仿宋_GB2312" w:eastAsia="仿宋_GB2312"/>
          <w:sz w:val="32"/>
          <w:szCs w:val="32"/>
        </w:rPr>
      </w:pPr>
      <w:r>
        <w:rPr>
          <w:rFonts w:hint="eastAsia" w:ascii="仿宋_GB2312" w:eastAsia="仿宋_GB2312"/>
          <w:sz w:val="32"/>
          <w:szCs w:val="32"/>
        </w:rPr>
        <w:t>加分仅限于笔试卷面分，免笔试人员在面试环节不享受加分。加分不受笔试满分限制。</w:t>
      </w:r>
      <w:r>
        <w:rPr>
          <w:rFonts w:hint="eastAsia" w:ascii="仿宋_GB2312" w:eastAsia="仿宋_GB2312"/>
          <w:b/>
          <w:bCs/>
          <w:sz w:val="32"/>
          <w:szCs w:val="32"/>
        </w:rPr>
        <w:t>各项加分可累计计算，但累计最高不超过10分。</w:t>
      </w:r>
      <w:r>
        <w:rPr>
          <w:rFonts w:hint="eastAsia" w:ascii="仿宋_GB2312" w:eastAsia="仿宋_GB2312"/>
          <w:sz w:val="32"/>
          <w:szCs w:val="32"/>
        </w:rPr>
        <w:t>曾通过享受政策待遇被录（聘）为公务员或事业单位编内工作人员的，不再享受报考事业单位加分和专门岗位招考优惠政策。</w:t>
      </w:r>
    </w:p>
    <w:bookmarkEnd w:id="27"/>
    <w:p>
      <w:pPr>
        <w:shd w:val="clear"/>
        <w:snapToGrid w:val="0"/>
        <w:spacing w:line="560" w:lineRule="exact"/>
        <w:ind w:firstLine="643" w:firstLineChars="200"/>
        <w:outlineLvl w:val="1"/>
        <w:rPr>
          <w:rFonts w:ascii="楷体_GB2312" w:hAnsi="楷体_GB2312" w:eastAsia="楷体_GB2312" w:cs="楷体_GB2312"/>
          <w:b/>
          <w:sz w:val="32"/>
          <w:szCs w:val="32"/>
        </w:rPr>
      </w:pPr>
      <w:bookmarkStart w:id="28" w:name="_Toc7546"/>
      <w:bookmarkStart w:id="29" w:name="_Toc70495091"/>
      <w:r>
        <w:rPr>
          <w:rFonts w:hint="eastAsia" w:ascii="楷体_GB2312" w:hAnsi="楷体_GB2312" w:eastAsia="楷体_GB2312" w:cs="楷体_GB2312"/>
          <w:b/>
          <w:sz w:val="32"/>
          <w:szCs w:val="32"/>
        </w:rPr>
        <w:t>（二）加分对象</w:t>
      </w:r>
      <w:bookmarkEnd w:id="28"/>
    </w:p>
    <w:p>
      <w:pPr>
        <w:shd w:val="clear"/>
        <w:spacing w:line="560" w:lineRule="exact"/>
        <w:ind w:firstLine="640" w:firstLineChars="200"/>
        <w:rPr>
          <w:rFonts w:ascii="仿宋_GB2312" w:eastAsia="仿宋_GB2312"/>
          <w:strike/>
          <w:sz w:val="32"/>
          <w:szCs w:val="32"/>
        </w:rPr>
      </w:pPr>
      <w:r>
        <w:rPr>
          <w:rFonts w:hint="eastAsia" w:ascii="仿宋_GB2312" w:eastAsia="仿宋_GB2312"/>
          <w:sz w:val="32"/>
          <w:szCs w:val="32"/>
        </w:rPr>
        <w:t>经报名资格审核通过并符合以下加分政策的报考人员可享受笔试加分待遇：</w:t>
      </w:r>
    </w:p>
    <w:p>
      <w:pPr>
        <w:shd w:val="clear"/>
        <w:spacing w:line="560" w:lineRule="exact"/>
        <w:ind w:firstLine="643" w:firstLineChars="200"/>
        <w:outlineLvl w:val="2"/>
        <w:rPr>
          <w:rFonts w:ascii="仿宋_GB2312" w:hAnsi="仿宋_GB2312" w:eastAsia="仿宋_GB2312" w:cs="仿宋_GB2312"/>
          <w:b/>
          <w:bCs/>
          <w:sz w:val="32"/>
          <w:szCs w:val="32"/>
        </w:rPr>
      </w:pPr>
      <w:bookmarkStart w:id="30" w:name="_Toc15632"/>
      <w:bookmarkStart w:id="31" w:name="_Toc10848"/>
      <w:bookmarkStart w:id="32" w:name="_Toc9822"/>
      <w:bookmarkStart w:id="33" w:name="_Toc13976"/>
      <w:bookmarkStart w:id="34" w:name="_Toc9098"/>
      <w:bookmarkStart w:id="35" w:name="_Toc17898"/>
      <w:r>
        <w:rPr>
          <w:rFonts w:hint="eastAsia" w:ascii="仿宋_GB2312" w:hAnsi="仿宋_GB2312" w:eastAsia="仿宋_GB2312" w:cs="仿宋_GB2312"/>
          <w:b/>
          <w:bCs/>
          <w:sz w:val="32"/>
          <w:szCs w:val="32"/>
        </w:rPr>
        <w:t>1.服务基层项目高校毕业人员</w:t>
      </w:r>
      <w:bookmarkEnd w:id="30"/>
      <w:bookmarkEnd w:id="31"/>
      <w:bookmarkEnd w:id="32"/>
      <w:bookmarkEnd w:id="33"/>
      <w:bookmarkEnd w:id="34"/>
      <w:bookmarkEnd w:id="35"/>
    </w:p>
    <w:p>
      <w:pPr>
        <w:shd w:val="clea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参加国家和福建省组织实施的“三支一扶”计划、“志愿服务西部计划”（含研究生支教团）、“志愿服务欠发达地区计划”、“服务社区计划”等，服务期限为1年及以上且于2024年12月31日前期满考核合格的福建户籍或福建生源高校毕业人员：服务期限2年及以上且期满考核合格的服务基层项目毕业生，报考市属事业单位笔试卷面分加3分，报考区属事业单位笔试卷面分加5分；服务期限1年及以上不满2年且期满考核合格的服务基层项目毕业生，报考市属事业单位不加分，报考区属事业单位笔试卷面分加5分。 </w:t>
      </w:r>
    </w:p>
    <w:p>
      <w:pPr>
        <w:shd w:val="clear"/>
        <w:spacing w:line="560" w:lineRule="exact"/>
        <w:ind w:firstLine="640" w:firstLineChars="200"/>
        <w:rPr>
          <w:rFonts w:ascii="仿宋_GB2312" w:eastAsia="仿宋_GB2312"/>
          <w:sz w:val="32"/>
          <w:szCs w:val="32"/>
        </w:rPr>
      </w:pPr>
      <w:r>
        <w:rPr>
          <w:rFonts w:hint="eastAsia" w:ascii="仿宋_GB2312" w:eastAsia="仿宋_GB2312"/>
          <w:sz w:val="32"/>
          <w:szCs w:val="32"/>
        </w:rPr>
        <w:t>当年服务行将期满考核合格和服务期满考核合格的“乡村振兴计划”大学生志愿者，报考市属事业单位笔试卷面分加3分，报考区属事业单位笔试卷面分加5分。</w:t>
      </w:r>
    </w:p>
    <w:p>
      <w:pPr>
        <w:shd w:val="clear"/>
        <w:spacing w:line="560" w:lineRule="exact"/>
        <w:ind w:firstLine="643" w:firstLineChars="200"/>
        <w:outlineLvl w:val="2"/>
        <w:rPr>
          <w:rFonts w:ascii="仿宋_GB2312" w:hAnsi="仿宋_GB2312" w:eastAsia="仿宋_GB2312" w:cs="仿宋_GB2312"/>
          <w:b/>
          <w:bCs/>
          <w:sz w:val="32"/>
          <w:szCs w:val="32"/>
        </w:rPr>
      </w:pPr>
      <w:bookmarkStart w:id="36" w:name="_Toc1747"/>
      <w:bookmarkStart w:id="37" w:name="_Toc24980"/>
      <w:bookmarkStart w:id="38" w:name="_Toc22049"/>
      <w:bookmarkStart w:id="39" w:name="_Toc3463"/>
      <w:bookmarkStart w:id="40" w:name="_Toc17686"/>
      <w:bookmarkStart w:id="41" w:name="_Toc12368"/>
      <w:r>
        <w:rPr>
          <w:rFonts w:hint="eastAsia" w:ascii="仿宋_GB2312" w:hAnsi="仿宋_GB2312" w:eastAsia="仿宋_GB2312" w:cs="仿宋_GB2312"/>
          <w:b/>
          <w:bCs/>
          <w:sz w:val="32"/>
          <w:szCs w:val="32"/>
        </w:rPr>
        <w:t>2.退役士兵（含大学生退役士兵）</w:t>
      </w:r>
      <w:bookmarkEnd w:id="36"/>
      <w:bookmarkEnd w:id="37"/>
      <w:bookmarkEnd w:id="38"/>
      <w:bookmarkEnd w:id="39"/>
      <w:bookmarkEnd w:id="40"/>
      <w:bookmarkEnd w:id="41"/>
    </w:p>
    <w:p>
      <w:pPr>
        <w:shd w:val="clear"/>
        <w:spacing w:line="560" w:lineRule="exact"/>
        <w:ind w:firstLine="640" w:firstLineChars="200"/>
        <w:rPr>
          <w:rFonts w:ascii="仿宋_GB2312" w:eastAsia="仿宋_GB2312"/>
          <w:sz w:val="32"/>
          <w:szCs w:val="32"/>
        </w:rPr>
      </w:pPr>
      <w:r>
        <w:rPr>
          <w:rFonts w:hint="eastAsia" w:ascii="仿宋_GB2312" w:eastAsia="仿宋_GB2312"/>
          <w:sz w:val="32"/>
          <w:szCs w:val="32"/>
        </w:rPr>
        <w:t>由福建省兵役机关批准入伍或福建生源的退役士兵（在福建省外应征入伍，但已于报名截止日前取得福建户籍的可参照），可享受以下笔试卷面分加分：服役满13年以上的加8分;服役满9年至12年的加6分;服役满6年至8年的加4分;服役满3年至5年的加2分;荣立二等功及以上的另加3分/次;荣立三等功的另加2分/次;获得优秀士官或优秀士兵或优秀义务兵荣誉称号的另加1分/次;伤残士兵另加3分;对在边防、高原、海岛等艰苦地区或从事飞行、舰艇工作5年及以上的，除享受以上加分外可再加3分；全日制普通教育大专以上学历学生在校期间应征入伍且退役后继续完成学业的，毕业后加5分；全日制普通教育大专以上学历毕业生应征入伍的，退役后加5分。</w:t>
      </w:r>
    </w:p>
    <w:p>
      <w:pPr>
        <w:shd w:val="clear"/>
        <w:spacing w:line="560" w:lineRule="exact"/>
        <w:ind w:firstLine="643" w:firstLineChars="200"/>
        <w:outlineLvl w:val="2"/>
        <w:rPr>
          <w:rFonts w:ascii="仿宋_GB2312" w:hAnsi="仿宋_GB2312" w:eastAsia="仿宋_GB2312" w:cs="仿宋_GB2312"/>
          <w:b/>
          <w:bCs/>
          <w:sz w:val="32"/>
          <w:szCs w:val="32"/>
        </w:rPr>
      </w:pPr>
      <w:bookmarkStart w:id="42" w:name="_Toc15434"/>
      <w:bookmarkStart w:id="43" w:name="_Toc4274"/>
      <w:bookmarkStart w:id="44" w:name="_Toc31915"/>
      <w:bookmarkStart w:id="45" w:name="_Toc5502"/>
      <w:r>
        <w:rPr>
          <w:rFonts w:hint="eastAsia" w:ascii="仿宋_GB2312" w:hAnsi="仿宋_GB2312" w:eastAsia="仿宋_GB2312" w:cs="仿宋_GB2312"/>
          <w:b/>
          <w:bCs/>
          <w:sz w:val="32"/>
          <w:szCs w:val="32"/>
        </w:rPr>
        <w:t>3.退役优秀运动员</w:t>
      </w:r>
      <w:bookmarkEnd w:id="42"/>
      <w:bookmarkEnd w:id="43"/>
      <w:bookmarkEnd w:id="44"/>
      <w:bookmarkEnd w:id="45"/>
    </w:p>
    <w:p>
      <w:pPr>
        <w:shd w:val="clear"/>
        <w:spacing w:line="560" w:lineRule="exact"/>
        <w:ind w:firstLine="640" w:firstLineChars="200"/>
        <w:rPr>
          <w:rFonts w:ascii="仿宋_GB2312" w:eastAsia="仿宋_GB2312"/>
          <w:sz w:val="32"/>
          <w:szCs w:val="32"/>
        </w:rPr>
      </w:pPr>
      <w:r>
        <w:rPr>
          <w:rFonts w:hint="eastAsia" w:ascii="仿宋_GB2312" w:eastAsia="仿宋_GB2312"/>
          <w:sz w:val="32"/>
          <w:szCs w:val="32"/>
        </w:rPr>
        <w:t>厦门市退役优秀运动员，可享受以下笔试卷面分加分:曾获得世界体育三大比赛（奥运会、世锦赛、世界杯）第2-6名，亚洲体育三大比赛（亚运会、亚锦赛、亚洲杯）或全运会第2、3名，全国锦标赛、全国冠军赛或篮球、排球、足球全国职业联赛第1名的运动员，加9分；获得省运动会冠军，全国锦标赛、冠军赛或篮球、排球、足球全国职业联赛第2、3名，亚洲体育三大比赛（亚运会、亚锦赛、亚洲杯）第4至第6名的运动员，加7分。</w:t>
      </w:r>
    </w:p>
    <w:p>
      <w:pPr>
        <w:shd w:val="clear"/>
        <w:snapToGrid w:val="0"/>
        <w:spacing w:line="560" w:lineRule="exact"/>
        <w:ind w:firstLine="643" w:firstLineChars="200"/>
        <w:outlineLvl w:val="1"/>
        <w:rPr>
          <w:rFonts w:ascii="楷体_GB2312" w:hAnsi="楷体_GB2312" w:eastAsia="楷体_GB2312" w:cs="楷体_GB2312"/>
          <w:b/>
          <w:sz w:val="32"/>
          <w:szCs w:val="32"/>
        </w:rPr>
      </w:pPr>
      <w:bookmarkStart w:id="46" w:name="_Toc30306"/>
      <w:bookmarkStart w:id="47" w:name="_Toc31427"/>
      <w:r>
        <w:rPr>
          <w:rFonts w:hint="eastAsia" w:ascii="楷体_GB2312" w:hAnsi="楷体_GB2312" w:eastAsia="楷体_GB2312" w:cs="楷体_GB2312"/>
          <w:b/>
          <w:sz w:val="32"/>
          <w:szCs w:val="32"/>
        </w:rPr>
        <w:t>（三）加分证明材料</w:t>
      </w:r>
      <w:bookmarkEnd w:id="46"/>
      <w:bookmarkEnd w:id="47"/>
    </w:p>
    <w:p>
      <w:pPr>
        <w:shd w:val="clear"/>
        <w:spacing w:line="560" w:lineRule="exact"/>
        <w:ind w:firstLine="640" w:firstLineChars="200"/>
        <w:rPr>
          <w:rFonts w:ascii="仿宋_GB2312" w:eastAsia="仿宋_GB2312"/>
          <w:sz w:val="32"/>
          <w:szCs w:val="32"/>
        </w:rPr>
      </w:pPr>
      <w:r>
        <w:rPr>
          <w:rFonts w:hint="eastAsia" w:ascii="仿宋_GB2312" w:eastAsia="仿宋_GB2312"/>
          <w:sz w:val="32"/>
          <w:szCs w:val="32"/>
        </w:rPr>
        <w:t>符合加分政策的报考人员须在网上报名时如实填报，并于报名期间主动向招聘单位沟通提交以下加分证明材料（提交方式请与招聘单位联系人联系），否则视为放弃享受加分政策：</w:t>
      </w:r>
    </w:p>
    <w:p>
      <w:pPr>
        <w:shd w:val="clear"/>
        <w:spacing w:line="560" w:lineRule="exact"/>
        <w:ind w:firstLine="640" w:firstLineChars="200"/>
        <w:rPr>
          <w:rFonts w:ascii="仿宋_GB2312" w:eastAsia="仿宋_GB2312"/>
          <w:sz w:val="32"/>
          <w:szCs w:val="32"/>
        </w:rPr>
      </w:pPr>
      <w:r>
        <w:rPr>
          <w:rFonts w:hint="eastAsia" w:ascii="仿宋_GB2312" w:eastAsia="仿宋_GB2312"/>
          <w:sz w:val="32"/>
          <w:szCs w:val="32"/>
        </w:rPr>
        <w:t>1.服务基层项目毕业生须提交组织实施相应项目的机构出具的服务基层期满考核合格证书（或服务期满考核合格材料），以及福建户籍或福建生源证明材料。</w:t>
      </w:r>
    </w:p>
    <w:p>
      <w:pPr>
        <w:shd w:val="clear"/>
        <w:spacing w:line="560" w:lineRule="exact"/>
        <w:ind w:firstLine="640" w:firstLineChars="200"/>
        <w:rPr>
          <w:rFonts w:ascii="仿宋_GB2312" w:eastAsia="仿宋_GB2312"/>
          <w:sz w:val="32"/>
          <w:szCs w:val="32"/>
        </w:rPr>
      </w:pPr>
      <w:r>
        <w:rPr>
          <w:rFonts w:hint="eastAsia" w:ascii="仿宋_GB2312" w:eastAsia="仿宋_GB2312"/>
          <w:sz w:val="32"/>
          <w:szCs w:val="32"/>
        </w:rPr>
        <w:t>2.符合加分政策的退役士兵（含大学生退役士兵）安置在厦门市的，可于上班时间持身份证、退伍证前往安置地区级退役军人事务局开具证明；安置在厦门市以外的，可由安置地县级及以上退役军人事务部门开具证明。此前已由相关部门开具的证明继续有效。</w:t>
      </w:r>
    </w:p>
    <w:p>
      <w:pPr>
        <w:shd w:val="clear"/>
        <w:spacing w:line="560" w:lineRule="exact"/>
        <w:ind w:firstLine="640" w:firstLineChars="200"/>
        <w:rPr>
          <w:rFonts w:ascii="仿宋_GB2312" w:eastAsia="仿宋_GB2312"/>
          <w:sz w:val="32"/>
          <w:szCs w:val="32"/>
        </w:rPr>
      </w:pPr>
      <w:r>
        <w:rPr>
          <w:rFonts w:hint="eastAsia" w:ascii="仿宋_GB2312" w:eastAsia="仿宋_GB2312"/>
          <w:sz w:val="32"/>
          <w:szCs w:val="32"/>
        </w:rPr>
        <w:t>3.符合加分政策的我市退役优秀运动员可持相应奖项证书前往厦门市体育局人事处开具证明材料(联系电话0592-5339322)。</w:t>
      </w:r>
    </w:p>
    <w:p>
      <w:pPr>
        <w:shd w:val="clear"/>
        <w:snapToGrid w:val="0"/>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十一、综合总分计算</w:t>
      </w:r>
      <w:bookmarkEnd w:id="29"/>
    </w:p>
    <w:p>
      <w:pPr>
        <w:shd w:val="clea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综合总分合格线为60分，其中：</w:t>
      </w:r>
    </w:p>
    <w:p>
      <w:pPr>
        <w:shd w:val="clea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（一）免笔试参加面试的：综合总分=面试成绩。</w:t>
      </w:r>
    </w:p>
    <w:p>
      <w:pPr>
        <w:shd w:val="clea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（二）有笔试和面试的：综合总分=笔试成绩×50%+面试成绩×50%。</w:t>
      </w:r>
    </w:p>
    <w:p>
      <w:pPr>
        <w:shd w:val="clea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笔试成绩、面试成绩、综合总分均采用四舍五入方式取小数点后2位（必要时可增加小数点位数）。对于综合总分相同者，按以下顺序进一步确定名次排列：</w:t>
      </w:r>
    </w:p>
    <w:p>
      <w:pPr>
        <w:shd w:val="clear"/>
        <w:spacing w:line="560" w:lineRule="exact"/>
        <w:ind w:firstLine="640" w:firstLineChars="200"/>
        <w:rPr>
          <w:rFonts w:ascii="仿宋_GB2312" w:eastAsia="仿宋_GB2312"/>
          <w:sz w:val="32"/>
          <w:szCs w:val="32"/>
        </w:rPr>
      </w:pPr>
      <w:r>
        <w:rPr>
          <w:rFonts w:hint="eastAsia" w:ascii="仿宋_GB2312" w:eastAsia="仿宋_GB2312"/>
          <w:sz w:val="32"/>
          <w:szCs w:val="32"/>
        </w:rPr>
        <w:t>（一）按笔试成绩从高到低排列；</w:t>
      </w:r>
    </w:p>
    <w:p>
      <w:pPr>
        <w:shd w:val="clear"/>
        <w:spacing w:line="560" w:lineRule="exact"/>
        <w:ind w:firstLine="640" w:firstLineChars="200"/>
        <w:rPr>
          <w:rFonts w:ascii="仿宋_GB2312" w:eastAsia="仿宋_GB2312"/>
          <w:sz w:val="32"/>
          <w:szCs w:val="32"/>
        </w:rPr>
      </w:pPr>
      <w:r>
        <w:rPr>
          <w:rFonts w:hint="eastAsia" w:ascii="仿宋_GB2312" w:eastAsia="仿宋_GB2312"/>
          <w:sz w:val="32"/>
          <w:szCs w:val="32"/>
        </w:rPr>
        <w:t>（二）若笔试成绩相同，按面试实际成绩（追溯小数点位数）从高到低排列；</w:t>
      </w:r>
    </w:p>
    <w:p>
      <w:pPr>
        <w:shd w:val="clear"/>
        <w:spacing w:line="560" w:lineRule="exact"/>
        <w:ind w:firstLine="640" w:firstLineChars="200"/>
        <w:rPr>
          <w:rFonts w:ascii="仿宋_GB2312" w:eastAsia="仿宋_GB2312"/>
          <w:sz w:val="32"/>
          <w:szCs w:val="32"/>
        </w:rPr>
      </w:pPr>
      <w:r>
        <w:rPr>
          <w:rFonts w:hint="eastAsia" w:ascii="仿宋_GB2312" w:eastAsia="仿宋_GB2312"/>
          <w:sz w:val="32"/>
          <w:szCs w:val="32"/>
        </w:rPr>
        <w:t>（三）若面试成绩依然相同，符合国家、福建省或厦门市文件规定优先对象的，优先进入体检环节。若无优先对象，由面试组织部门重新组织面试，按成绩从高到低确定体检人选。</w:t>
      </w:r>
    </w:p>
    <w:p>
      <w:pPr>
        <w:shd w:val="clear"/>
        <w:snapToGrid w:val="0"/>
        <w:spacing w:line="560" w:lineRule="exact"/>
        <w:ind w:firstLine="640" w:firstLineChars="200"/>
        <w:outlineLvl w:val="0"/>
        <w:rPr>
          <w:rFonts w:ascii="黑体" w:hAnsi="黑体" w:eastAsia="黑体" w:cs="黑体"/>
          <w:sz w:val="32"/>
          <w:szCs w:val="32"/>
        </w:rPr>
      </w:pPr>
      <w:bookmarkStart w:id="48" w:name="_Toc70495092"/>
      <w:r>
        <w:rPr>
          <w:rFonts w:hint="eastAsia" w:ascii="黑体" w:hAnsi="黑体" w:eastAsia="黑体" w:cs="黑体"/>
          <w:sz w:val="32"/>
          <w:szCs w:val="32"/>
        </w:rPr>
        <w:t>十二、体检和考察</w:t>
      </w:r>
      <w:bookmarkEnd w:id="48"/>
    </w:p>
    <w:p>
      <w:pPr>
        <w:shd w:val="clear"/>
        <w:snapToGrid w:val="0"/>
        <w:spacing w:line="560" w:lineRule="exact"/>
        <w:ind w:firstLine="643" w:firstLineChars="200"/>
        <w:outlineLvl w:val="1"/>
        <w:rPr>
          <w:rFonts w:ascii="楷体_GB2312" w:hAnsi="楷体_GB2312" w:eastAsia="楷体_GB2312" w:cs="楷体_GB2312"/>
          <w:b/>
          <w:sz w:val="32"/>
          <w:szCs w:val="32"/>
        </w:rPr>
      </w:pPr>
      <w:bookmarkStart w:id="49" w:name="_Toc70495093"/>
      <w:r>
        <w:rPr>
          <w:rFonts w:hint="eastAsia" w:ascii="楷体_GB2312" w:hAnsi="楷体_GB2312" w:eastAsia="楷体_GB2312" w:cs="楷体_GB2312"/>
          <w:b/>
          <w:sz w:val="32"/>
          <w:szCs w:val="32"/>
        </w:rPr>
        <w:t>（一）确定体检人选</w:t>
      </w:r>
      <w:bookmarkEnd w:id="49"/>
    </w:p>
    <w:p>
      <w:pPr>
        <w:shd w:val="clear"/>
        <w:spacing w:line="560" w:lineRule="exact"/>
        <w:ind w:firstLine="640" w:firstLineChars="200"/>
        <w:rPr>
          <w:rFonts w:ascii="仿宋_GB2312" w:eastAsia="仿宋_GB2312"/>
          <w:sz w:val="32"/>
          <w:szCs w:val="32"/>
        </w:rPr>
      </w:pPr>
      <w:r>
        <w:rPr>
          <w:rFonts w:hint="eastAsia" w:ascii="仿宋_GB2312" w:eastAsia="仿宋_GB2312"/>
          <w:sz w:val="32"/>
          <w:szCs w:val="32"/>
        </w:rPr>
        <w:t>从笔试、面试和综合总分均合格者中，根据综合总分排名顺序，按岗位拟招聘人数1:1的比例从高分至低分确定体检人选。</w:t>
      </w:r>
    </w:p>
    <w:p>
      <w:pPr>
        <w:shd w:val="clear"/>
        <w:spacing w:line="56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体检对象属于机关事业单位在编人员或国有企业在职人员的，应于体检前向招聘单位主管部门提交同意报考材料（包括同意报考证明或同意辞职证明或同意解除聘用、劳动合同证明）。其中，机关事业单位在编人员应按干部管理权限提交属地组织人事部门或主管部门出具的同意报考材料；国有企业在职人员须提交所在单位出具的同意报考材料。</w:t>
      </w:r>
    </w:p>
    <w:p>
      <w:pPr>
        <w:shd w:val="clear"/>
        <w:snapToGrid w:val="0"/>
        <w:spacing w:line="560" w:lineRule="exact"/>
        <w:ind w:firstLine="643" w:firstLineChars="200"/>
        <w:outlineLvl w:val="1"/>
        <w:rPr>
          <w:rFonts w:ascii="楷体_GB2312" w:hAnsi="楷体_GB2312" w:eastAsia="楷体_GB2312" w:cs="楷体_GB2312"/>
          <w:b/>
          <w:sz w:val="32"/>
          <w:szCs w:val="32"/>
        </w:rPr>
      </w:pPr>
      <w:bookmarkStart w:id="50" w:name="_Toc70495094"/>
      <w:r>
        <w:rPr>
          <w:rFonts w:hint="eastAsia" w:ascii="楷体_GB2312" w:hAnsi="楷体_GB2312" w:eastAsia="楷体_GB2312" w:cs="楷体_GB2312"/>
          <w:b/>
          <w:sz w:val="32"/>
          <w:szCs w:val="32"/>
        </w:rPr>
        <w:t>（二）组织体检</w:t>
      </w:r>
      <w:bookmarkEnd w:id="50"/>
    </w:p>
    <w:p>
      <w:pPr>
        <w:shd w:val="clea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体检由区人社局统一组织。</w:t>
      </w:r>
    </w:p>
    <w:p>
      <w:pPr>
        <w:shd w:val="clea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体检人员应根据通知按时参加并配合体检，否则，视为放弃资格。</w:t>
      </w:r>
    </w:p>
    <w:p>
      <w:pPr>
        <w:shd w:val="clear"/>
        <w:snapToGrid w:val="0"/>
        <w:spacing w:line="560" w:lineRule="exact"/>
        <w:ind w:firstLine="643" w:firstLineChars="200"/>
        <w:outlineLvl w:val="1"/>
        <w:rPr>
          <w:rFonts w:ascii="楷体_GB2312" w:hAnsi="楷体_GB2312" w:eastAsia="楷体_GB2312" w:cs="楷体_GB2312"/>
          <w:b/>
          <w:sz w:val="32"/>
          <w:szCs w:val="32"/>
        </w:rPr>
      </w:pPr>
      <w:bookmarkStart w:id="51" w:name="_Toc70495095"/>
      <w:r>
        <w:rPr>
          <w:rFonts w:hint="eastAsia" w:ascii="楷体_GB2312" w:hAnsi="楷体_GB2312" w:eastAsia="楷体_GB2312" w:cs="楷体_GB2312"/>
          <w:b/>
          <w:sz w:val="32"/>
          <w:szCs w:val="32"/>
        </w:rPr>
        <w:t>（三）体检依据</w:t>
      </w:r>
      <w:bookmarkEnd w:id="51"/>
    </w:p>
    <w:p>
      <w:pPr>
        <w:shd w:val="clear"/>
        <w:spacing w:line="560" w:lineRule="exact"/>
        <w:ind w:firstLine="640" w:firstLineChars="200"/>
        <w:rPr>
          <w:rFonts w:ascii="仿宋_GB2312" w:eastAsia="仿宋_GB2312"/>
          <w:sz w:val="32"/>
          <w:szCs w:val="32"/>
        </w:rPr>
      </w:pPr>
      <w:bookmarkStart w:id="52" w:name="_Toc70495096"/>
      <w:r>
        <w:rPr>
          <w:rFonts w:hint="eastAsia" w:ascii="仿宋_GB2312" w:eastAsia="仿宋_GB2312"/>
          <w:sz w:val="32"/>
          <w:szCs w:val="32"/>
        </w:rPr>
        <w:t>本次招聘体检参照《公务员录用体检通用标准（试行）》和《公务员录用体检操作手册（试行）》和《关于修订〈公务员录用体检通用标准（试行）〉及〈公务员录用体检操作手册（试行）〉的通知》（人社部发〔2016〕140号）等文件的要求,特殊行业或岗位有相应体检标准可另行要求。</w:t>
      </w:r>
    </w:p>
    <w:p>
      <w:pPr>
        <w:shd w:val="clea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体检医院由区人社局根据要求指定。具体检测方法由体检医院结合实际确定，体检结论以体检医院出具的体检报告为准。</w:t>
      </w:r>
    </w:p>
    <w:p>
      <w:pPr>
        <w:shd w:val="clea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从事放射岗位人员还需根据《放射工作人员职业健康监护技术规范》（卫通[2011]2号）完成岗前必检项目的体检。</w:t>
      </w:r>
    </w:p>
    <w:p>
      <w:pPr>
        <w:shd w:val="clea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体（复）检费用个人自理。凡在体检中弄虚作假或隐瞒真实情况的报考者，不予聘用或取消聘用。</w:t>
      </w:r>
    </w:p>
    <w:p>
      <w:pPr>
        <w:shd w:val="clear"/>
        <w:snapToGrid w:val="0"/>
        <w:spacing w:line="560" w:lineRule="exact"/>
        <w:ind w:firstLine="643" w:firstLineChars="200"/>
        <w:outlineLvl w:val="1"/>
        <w:rPr>
          <w:rFonts w:ascii="楷体_GB2312" w:hAnsi="楷体_GB2312" w:eastAsia="楷体_GB2312" w:cs="楷体_GB2312"/>
          <w:b/>
          <w:sz w:val="32"/>
          <w:szCs w:val="32"/>
        </w:rPr>
      </w:pPr>
      <w:r>
        <w:rPr>
          <w:rFonts w:hint="eastAsia" w:ascii="楷体_GB2312" w:hAnsi="楷体_GB2312" w:eastAsia="楷体_GB2312" w:cs="楷体_GB2312"/>
          <w:b/>
          <w:sz w:val="32"/>
          <w:szCs w:val="32"/>
        </w:rPr>
        <w:t>（四）体检复检</w:t>
      </w:r>
      <w:bookmarkEnd w:id="52"/>
    </w:p>
    <w:p>
      <w:pPr>
        <w:shd w:val="clear"/>
        <w:spacing w:line="560" w:lineRule="exact"/>
        <w:ind w:firstLine="640" w:firstLineChars="200"/>
        <w:rPr>
          <w:rFonts w:ascii="仿宋_GB2312" w:eastAsia="仿宋_GB2312"/>
          <w:sz w:val="32"/>
          <w:szCs w:val="32"/>
        </w:rPr>
      </w:pPr>
      <w:bookmarkStart w:id="53" w:name="_Toc70495099"/>
      <w:r>
        <w:rPr>
          <w:rFonts w:hint="eastAsia" w:ascii="仿宋_GB2312" w:eastAsia="仿宋_GB2312"/>
          <w:sz w:val="32"/>
          <w:szCs w:val="32"/>
        </w:rPr>
        <w:t>复检参照人力资源社会保障部、卫生部、国家公务员局《关于进一步做好公务员考试录用体检工作的通知》(人社部发〔2012〕65号)的有关规定执行，其中：</w:t>
      </w:r>
    </w:p>
    <w:p>
      <w:pPr>
        <w:shd w:val="clear"/>
        <w:spacing w:line="560" w:lineRule="exact"/>
        <w:ind w:firstLine="640" w:firstLineChars="200"/>
        <w:rPr>
          <w:rFonts w:ascii="仿宋_GB2312" w:eastAsia="仿宋_GB2312"/>
          <w:sz w:val="32"/>
          <w:szCs w:val="32"/>
        </w:rPr>
      </w:pPr>
      <w:r>
        <w:rPr>
          <w:rFonts w:hint="eastAsia" w:ascii="仿宋_GB2312" w:eastAsia="仿宋_GB2312"/>
          <w:sz w:val="32"/>
          <w:szCs w:val="32"/>
        </w:rPr>
        <w:t>1.对心率、视力、听力、血压等项目达不到体检合格标准的，安排</w:t>
      </w:r>
      <w:r>
        <w:rPr>
          <w:rFonts w:hint="eastAsia" w:ascii="仿宋_GB2312" w:eastAsia="仿宋_GB2312"/>
          <w:b/>
          <w:bCs/>
          <w:sz w:val="32"/>
          <w:szCs w:val="32"/>
        </w:rPr>
        <w:t>当日复检</w:t>
      </w:r>
      <w:r>
        <w:rPr>
          <w:rFonts w:hint="eastAsia" w:ascii="仿宋_GB2312" w:eastAsia="仿宋_GB2312"/>
          <w:sz w:val="32"/>
          <w:szCs w:val="32"/>
        </w:rPr>
        <w:t>；对边缘性心脏杂音、病理性心电图、病理性杂音、频发早搏（心电图证实）等项目达不到体检合格标准的，安排</w:t>
      </w:r>
      <w:r>
        <w:rPr>
          <w:rFonts w:hint="eastAsia" w:ascii="仿宋_GB2312" w:eastAsia="仿宋_GB2312"/>
          <w:b/>
          <w:bCs/>
          <w:sz w:val="32"/>
          <w:szCs w:val="32"/>
        </w:rPr>
        <w:t>当场复检</w:t>
      </w:r>
      <w:r>
        <w:rPr>
          <w:rFonts w:hint="eastAsia" w:ascii="仿宋_GB2312" w:eastAsia="仿宋_GB2312"/>
          <w:sz w:val="32"/>
          <w:szCs w:val="32"/>
        </w:rPr>
        <w:t>。</w:t>
      </w:r>
    </w:p>
    <w:p>
      <w:pPr>
        <w:shd w:val="clear"/>
        <w:spacing w:line="560" w:lineRule="exact"/>
        <w:ind w:firstLine="640" w:firstLineChars="200"/>
        <w:rPr>
          <w:rFonts w:ascii="仿宋_GB2312" w:eastAsia="仿宋_GB2312"/>
          <w:sz w:val="32"/>
          <w:szCs w:val="32"/>
        </w:rPr>
      </w:pPr>
      <w:r>
        <w:rPr>
          <w:rFonts w:hint="eastAsia" w:ascii="仿宋_GB2312" w:eastAsia="仿宋_GB2312"/>
          <w:sz w:val="32"/>
          <w:szCs w:val="32"/>
        </w:rPr>
        <w:t>2.考生</w:t>
      </w:r>
      <w:r>
        <w:rPr>
          <w:rFonts w:hint="eastAsia" w:ascii="仿宋_GB2312" w:eastAsia="仿宋_GB2312"/>
          <w:b/>
          <w:bCs/>
          <w:sz w:val="32"/>
          <w:szCs w:val="32"/>
        </w:rPr>
        <w:t>对非当日或非当场复检的体检项目结果有疑问时</w:t>
      </w:r>
      <w:r>
        <w:rPr>
          <w:rFonts w:hint="eastAsia" w:ascii="仿宋_GB2312" w:eastAsia="仿宋_GB2312"/>
          <w:sz w:val="32"/>
          <w:szCs w:val="32"/>
        </w:rPr>
        <w:t>，可以在接到体检结论的7日内，向组织体检单位提交复检申请。组织体检的单位另行指定医院复检。复检时不得告知复检项目。复检只能进行1次，体检结论以复检的结果为准。自行体检的结果无效。</w:t>
      </w:r>
    </w:p>
    <w:p>
      <w:pPr>
        <w:shd w:val="clear"/>
        <w:spacing w:line="560" w:lineRule="exact"/>
        <w:ind w:firstLine="640" w:firstLineChars="200"/>
        <w:rPr>
          <w:rFonts w:ascii="仿宋_GB2312" w:eastAsia="仿宋_GB2312"/>
          <w:sz w:val="32"/>
          <w:szCs w:val="32"/>
        </w:rPr>
      </w:pPr>
      <w:r>
        <w:rPr>
          <w:rFonts w:hint="eastAsia" w:ascii="仿宋_GB2312" w:eastAsia="仿宋_GB2312"/>
          <w:sz w:val="32"/>
          <w:szCs w:val="32"/>
        </w:rPr>
        <w:t>3.组织体检单位对体检结论有疑问的，在接到体检结论通知之日起7日内决定是否进行复检。</w:t>
      </w:r>
    </w:p>
    <w:p>
      <w:pPr>
        <w:shd w:val="clear"/>
        <w:snapToGrid w:val="0"/>
        <w:spacing w:line="560" w:lineRule="exact"/>
        <w:ind w:firstLine="643" w:firstLineChars="200"/>
        <w:outlineLvl w:val="1"/>
        <w:rPr>
          <w:rFonts w:ascii="楷体_GB2312" w:hAnsi="楷体_GB2312" w:eastAsia="楷体_GB2312" w:cs="楷体_GB2312"/>
          <w:b/>
          <w:sz w:val="32"/>
          <w:szCs w:val="32"/>
        </w:rPr>
      </w:pPr>
      <w:bookmarkStart w:id="54" w:name="_Toc680"/>
      <w:r>
        <w:rPr>
          <w:rFonts w:hint="eastAsia" w:ascii="楷体_GB2312" w:hAnsi="楷体_GB2312" w:eastAsia="楷体_GB2312" w:cs="楷体_GB2312"/>
          <w:b/>
          <w:sz w:val="32"/>
          <w:szCs w:val="32"/>
        </w:rPr>
        <w:t>（五）可延迟体检的情形</w:t>
      </w:r>
      <w:bookmarkEnd w:id="54"/>
    </w:p>
    <w:p>
      <w:pPr>
        <w:shd w:val="clear"/>
        <w:spacing w:line="560" w:lineRule="exact"/>
        <w:ind w:firstLine="640" w:firstLineChars="200"/>
        <w:outlineLvl w:val="1"/>
        <w:rPr>
          <w:rFonts w:ascii="仿宋_GB2312" w:eastAsia="仿宋_GB2312"/>
          <w:sz w:val="32"/>
          <w:szCs w:val="32"/>
        </w:rPr>
      </w:pPr>
      <w:bookmarkStart w:id="55" w:name="_Toc14893"/>
      <w:bookmarkStart w:id="56" w:name="_Toc5902"/>
      <w:bookmarkStart w:id="57" w:name="_Toc1064617349"/>
      <w:r>
        <w:rPr>
          <w:rFonts w:hint="eastAsia" w:ascii="仿宋_GB2312" w:eastAsia="仿宋_GB2312"/>
          <w:sz w:val="32"/>
          <w:szCs w:val="32"/>
        </w:rPr>
        <w:t>女性报考者因怀孕不能进入体检的，招聘单位及其主管部门应对其延期体检，并与报考者约定延缓体检的最长期限。</w:t>
      </w:r>
      <w:bookmarkEnd w:id="55"/>
      <w:bookmarkEnd w:id="56"/>
      <w:bookmarkEnd w:id="57"/>
    </w:p>
    <w:p>
      <w:pPr>
        <w:shd w:val="clear"/>
        <w:snapToGrid w:val="0"/>
        <w:spacing w:line="560" w:lineRule="exact"/>
        <w:ind w:firstLine="643" w:firstLineChars="200"/>
        <w:outlineLvl w:val="1"/>
        <w:rPr>
          <w:rFonts w:ascii="楷体_GB2312" w:hAnsi="楷体_GB2312" w:eastAsia="楷体_GB2312" w:cs="楷体_GB2312"/>
          <w:b/>
          <w:sz w:val="32"/>
          <w:szCs w:val="32"/>
        </w:rPr>
      </w:pPr>
      <w:bookmarkStart w:id="58" w:name="_Toc11889"/>
      <w:r>
        <w:rPr>
          <w:rFonts w:hint="eastAsia" w:ascii="楷体_GB2312" w:hAnsi="楷体_GB2312" w:eastAsia="楷体_GB2312" w:cs="楷体_GB2312"/>
          <w:b/>
          <w:sz w:val="32"/>
          <w:szCs w:val="32"/>
        </w:rPr>
        <w:t>（六）考察</w:t>
      </w:r>
      <w:bookmarkEnd w:id="58"/>
    </w:p>
    <w:p>
      <w:pPr>
        <w:shd w:val="clea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对体检合格的报考人员，由招聘单位会同主管部门组织对其政治思想、道德品质、廉洁自律、能力素质、工作态度、学习及工作表现以及是否需要回避等内容进行考察，并对报考人员资格条件再次进行审核。 </w:t>
      </w:r>
    </w:p>
    <w:p>
      <w:pPr>
        <w:shd w:val="clear"/>
        <w:snapToGrid w:val="0"/>
        <w:spacing w:line="560" w:lineRule="exact"/>
        <w:ind w:firstLine="640" w:firstLineChars="200"/>
        <w:outlineLvl w:val="0"/>
        <w:rPr>
          <w:rFonts w:ascii="仿宋_GB2312" w:eastAsia="仿宋_GB2312"/>
          <w:sz w:val="32"/>
          <w:szCs w:val="32"/>
        </w:rPr>
      </w:pPr>
      <w:r>
        <w:rPr>
          <w:rFonts w:hint="eastAsia" w:ascii="仿宋_GB2312" w:eastAsia="仿宋_GB2312"/>
          <w:sz w:val="32"/>
          <w:szCs w:val="32"/>
        </w:rPr>
        <w:t>考察工作前，通过中国执行信息公开网（http://zxgk.court.gov.cn/）核实考察对象有无失信被执行的情况。被依法列为失信联合惩戒对象的，不得报考或或取消报考（聘用）资格。</w:t>
      </w:r>
    </w:p>
    <w:p>
      <w:pPr>
        <w:shd w:val="clear"/>
        <w:snapToGrid w:val="0"/>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十三、公示</w:t>
      </w:r>
      <w:bookmarkEnd w:id="53"/>
    </w:p>
    <w:p>
      <w:pPr>
        <w:shd w:val="clea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hint="eastAsia" w:ascii="仿宋_GB2312" w:eastAsia="仿宋_GB2312"/>
          <w:sz w:val="32"/>
          <w:szCs w:val="32"/>
        </w:rPr>
        <w:t>岗位要求以及考试、体检、考察结果，确定拟聘用人员名单，并在翔安区政府网（</w:t>
      </w:r>
      <w:r>
        <w:rPr>
          <w:rFonts w:hint="eastAsia" w:ascii="仿宋_GB2312" w:hAnsi="仿宋_GB2312" w:eastAsia="仿宋_GB2312" w:cs="仿宋_GB2312"/>
          <w:sz w:val="32"/>
          <w:szCs w:val="32"/>
        </w:rPr>
        <w:t>网址：</w:t>
      </w:r>
      <w:r>
        <w:rPr>
          <w:u w:val="none"/>
        </w:rPr>
        <w:fldChar w:fldCharType="begin"/>
      </w:r>
      <w:r>
        <w:rPr>
          <w:u w:val="none"/>
        </w:rPr>
        <w:instrText xml:space="preserve"> HYPERLINK "http://http://www.xiangan.gov.cn/" </w:instrText>
      </w:r>
      <w:r>
        <w:rPr>
          <w:u w:val="none"/>
        </w:rPr>
        <w:fldChar w:fldCharType="separate"/>
      </w:r>
      <w:r>
        <w:rPr>
          <w:rStyle w:val="13"/>
          <w:rFonts w:hint="eastAsia" w:ascii="仿宋_GB2312" w:hAnsi="仿宋_GB2312" w:eastAsia="仿宋_GB2312" w:cs="仿宋_GB2312"/>
          <w:color w:val="auto"/>
          <w:sz w:val="32"/>
          <w:szCs w:val="32"/>
          <w:u w:val="none"/>
        </w:rPr>
        <w:t>http:// www.xiangan.gov.cn/</w:t>
      </w:r>
      <w:r>
        <w:rPr>
          <w:rStyle w:val="13"/>
          <w:rFonts w:hint="eastAsia" w:ascii="仿宋_GB2312" w:hAnsi="仿宋_GB2312" w:eastAsia="仿宋_GB2312" w:cs="仿宋_GB2312"/>
          <w:color w:val="auto"/>
          <w:sz w:val="32"/>
          <w:szCs w:val="32"/>
          <w:u w:val="none"/>
        </w:rPr>
        <w:fldChar w:fldCharType="end"/>
      </w:r>
      <w:r>
        <w:rPr>
          <w:rFonts w:hint="eastAsia" w:ascii="仿宋_GB2312" w:hAnsi="仿宋_GB2312" w:eastAsia="仿宋_GB2312" w:cs="仿宋_GB2312"/>
          <w:sz w:val="32"/>
          <w:szCs w:val="32"/>
        </w:rPr>
        <w:t>）</w:t>
      </w:r>
      <w:r>
        <w:rPr>
          <w:rFonts w:hint="eastAsia" w:ascii="仿宋_GB2312" w:eastAsia="仿宋_GB2312"/>
          <w:sz w:val="32"/>
          <w:szCs w:val="32"/>
        </w:rPr>
        <w:t>公示7</w:t>
      </w:r>
      <w:r>
        <w:rPr>
          <w:rFonts w:hint="eastAsia" w:ascii="仿宋_GB2312" w:hAnsi="仿宋_GB2312" w:eastAsia="仿宋_GB2312" w:cs="仿宋_GB2312"/>
          <w:sz w:val="32"/>
          <w:szCs w:val="32"/>
        </w:rPr>
        <w:t>个工作日。公示内容包括招聘单位名称、招聘岗位、拟聘人员基本信息等。</w:t>
      </w:r>
    </w:p>
    <w:p>
      <w:pPr>
        <w:shd w:val="clear"/>
        <w:spacing w:line="56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对未取得有关证书的人员（如2024届高校毕业生、服务基层项目高校毕业生等）可先予以公示，在规定时限内（详见《报考须知》）提供相应证书后，再办理聘用手续。</w:t>
      </w:r>
    </w:p>
    <w:p>
      <w:pPr>
        <w:shd w:val="clear"/>
        <w:snapToGrid w:val="0"/>
        <w:spacing w:line="560" w:lineRule="exact"/>
        <w:ind w:firstLine="640" w:firstLineChars="200"/>
        <w:outlineLvl w:val="0"/>
        <w:rPr>
          <w:rFonts w:ascii="黑体" w:hAnsi="黑体" w:eastAsia="黑体" w:cs="黑体"/>
          <w:sz w:val="32"/>
          <w:szCs w:val="32"/>
        </w:rPr>
      </w:pPr>
      <w:bookmarkStart w:id="59" w:name="_Toc70495100"/>
      <w:r>
        <w:rPr>
          <w:rFonts w:hint="eastAsia" w:ascii="黑体" w:hAnsi="黑体" w:eastAsia="黑体" w:cs="黑体"/>
          <w:sz w:val="32"/>
          <w:szCs w:val="32"/>
        </w:rPr>
        <w:t>十四、聘用</w:t>
      </w:r>
      <w:bookmarkEnd w:id="59"/>
      <w:r>
        <w:rPr>
          <w:rFonts w:hint="eastAsia" w:ascii="黑体" w:hAnsi="黑体" w:eastAsia="黑体" w:cs="黑体"/>
          <w:sz w:val="32"/>
          <w:szCs w:val="32"/>
        </w:rPr>
        <w:t>办理</w:t>
      </w:r>
    </w:p>
    <w:p>
      <w:pPr>
        <w:shd w:val="clear"/>
        <w:snapToGrid w:val="0"/>
        <w:spacing w:line="560" w:lineRule="exact"/>
        <w:ind w:firstLine="643" w:firstLineChars="200"/>
        <w:outlineLvl w:val="1"/>
        <w:rPr>
          <w:rFonts w:ascii="楷体_GB2312" w:hAnsi="楷体_GB2312" w:eastAsia="楷体_GB2312" w:cs="楷体_GB2312"/>
          <w:b/>
          <w:sz w:val="32"/>
          <w:szCs w:val="32"/>
        </w:rPr>
      </w:pPr>
      <w:bookmarkStart w:id="60" w:name="_Toc3099"/>
      <w:r>
        <w:rPr>
          <w:rFonts w:hint="eastAsia" w:ascii="楷体_GB2312" w:hAnsi="楷体_GB2312" w:eastAsia="楷体_GB2312" w:cs="楷体_GB2312"/>
          <w:b/>
          <w:sz w:val="32"/>
          <w:szCs w:val="32"/>
        </w:rPr>
        <w:t>（一）聘用手续办理</w:t>
      </w:r>
      <w:bookmarkEnd w:id="60"/>
    </w:p>
    <w:p>
      <w:pPr>
        <w:shd w:val="clear"/>
        <w:spacing w:line="560" w:lineRule="exact"/>
        <w:ind w:firstLine="640" w:firstLineChars="200"/>
        <w:rPr>
          <w:rFonts w:ascii="仿宋_GB2312" w:eastAsia="仿宋_GB2312"/>
          <w:sz w:val="32"/>
          <w:szCs w:val="32"/>
        </w:rPr>
      </w:pPr>
      <w:bookmarkStart w:id="61" w:name="_Toc9234"/>
      <w:r>
        <w:rPr>
          <w:rFonts w:hint="eastAsia" w:ascii="仿宋_GB2312" w:eastAsia="仿宋_GB2312"/>
          <w:sz w:val="32"/>
          <w:szCs w:val="32"/>
        </w:rPr>
        <w:t>公示结果无异议，或经招聘单位会同主管部门核实不影响聘用的，拟聘人员应于公示期满后3个月内提供办理聘用手续所需的材料（含个人人事档案），因情况确实特殊、无法在上述期限内提供完备材料的，与招聘单位及其主管部门协商同意并书面承诺后可适当延长材料提交时限（延长时限原则上不超过2个月），否则视为放弃聘用资格。</w:t>
      </w:r>
    </w:p>
    <w:p>
      <w:pPr>
        <w:shd w:val="clear"/>
        <w:snapToGrid w:val="0"/>
        <w:spacing w:line="560" w:lineRule="exact"/>
        <w:ind w:firstLine="643" w:firstLineChars="200"/>
        <w:outlineLvl w:val="1"/>
        <w:rPr>
          <w:rFonts w:ascii="楷体_GB2312" w:hAnsi="楷体_GB2312" w:eastAsia="楷体_GB2312" w:cs="楷体_GB2312"/>
          <w:b/>
          <w:sz w:val="32"/>
          <w:szCs w:val="32"/>
        </w:rPr>
      </w:pPr>
      <w:r>
        <w:rPr>
          <w:rFonts w:hint="eastAsia" w:ascii="楷体_GB2312" w:hAnsi="楷体_GB2312" w:eastAsia="楷体_GB2312" w:cs="楷体_GB2312"/>
          <w:b/>
          <w:sz w:val="32"/>
          <w:szCs w:val="32"/>
        </w:rPr>
        <w:t>（二）岗位聘任</w:t>
      </w:r>
      <w:bookmarkEnd w:id="61"/>
    </w:p>
    <w:p>
      <w:pPr>
        <w:shd w:val="clear"/>
        <w:spacing w:line="560" w:lineRule="exact"/>
        <w:ind w:firstLine="640" w:firstLineChars="200"/>
        <w:rPr>
          <w:rFonts w:ascii="仿宋_GB2312" w:hAnsi="宋体" w:eastAsia="仿宋_GB2312"/>
          <w:sz w:val="32"/>
          <w:szCs w:val="32"/>
        </w:rPr>
      </w:pPr>
      <w:bookmarkStart w:id="62" w:name="_Toc70495103"/>
      <w:r>
        <w:rPr>
          <w:rFonts w:hint="eastAsia" w:ascii="仿宋_GB2312" w:hAnsi="宋体" w:eastAsia="仿宋_GB2312"/>
          <w:sz w:val="32"/>
          <w:szCs w:val="32"/>
        </w:rPr>
        <w:t>1.岗位编制类型为人员控制总量的，属于招聘单位人员控制总量内聘用工作人员，执行统一的事业单位人事管理制度，享受在编人员同等待遇。</w:t>
      </w:r>
    </w:p>
    <w:p>
      <w:pPr>
        <w:shd w:val="clear"/>
        <w:spacing w:line="560" w:lineRule="exact"/>
        <w:ind w:firstLine="640" w:firstLineChars="200"/>
        <w:rPr>
          <w:rFonts w:ascii="仿宋_GB2312" w:eastAsia="仿宋_GB2312"/>
          <w:sz w:val="32"/>
          <w:szCs w:val="32"/>
        </w:rPr>
      </w:pPr>
      <w:r>
        <w:rPr>
          <w:rFonts w:hint="eastAsia" w:ascii="仿宋_GB2312" w:eastAsia="仿宋_GB2312"/>
          <w:sz w:val="32"/>
          <w:szCs w:val="32"/>
        </w:rPr>
        <w:t>拟聘人员办理就业手续后，招聘单位应依据《事业单位人事管理条例》、《厦门市事业单位聘用制暂行规定》与拟聘人员签订《聘用合同》。聘用人员的人员身份及工龄、工资、养老保险等待遇由招聘单位查阅其人事档案后，按照厦门市有关规定认定。</w:t>
      </w:r>
    </w:p>
    <w:p>
      <w:pPr>
        <w:shd w:val="clea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2.</w:t>
      </w:r>
      <w:r>
        <w:rPr>
          <w:rFonts w:hint="eastAsia" w:ascii="仿宋_GB2312" w:eastAsia="仿宋_GB2312"/>
          <w:sz w:val="32"/>
          <w:szCs w:val="32"/>
        </w:rPr>
        <w:t>招聘单位对拟聘人员的聘用须按照事业单位岗位设置管理规定，按本单位发布的招聘岗位类别和级别进行聘任。如招聘单位的拟聘岗位数量不足或拟聘人员不具备相应岗位聘任资格条件的，可实行高职低聘。</w:t>
      </w:r>
    </w:p>
    <w:p>
      <w:pPr>
        <w:shd w:val="clea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3.本次招聘的聘用人员将按有关规定实行试用期，试用期包括在聘用期内，试用期满考核不合格的予以解聘。</w:t>
      </w:r>
    </w:p>
    <w:p>
      <w:pPr>
        <w:shd w:val="clea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十五、</w:t>
      </w:r>
      <w:bookmarkEnd w:id="62"/>
      <w:r>
        <w:rPr>
          <w:rFonts w:hint="eastAsia" w:ascii="黑体" w:hAnsi="黑体" w:eastAsia="黑体" w:cs="黑体"/>
          <w:sz w:val="32"/>
          <w:szCs w:val="32"/>
        </w:rPr>
        <w:t>其他需说明事项</w:t>
      </w:r>
    </w:p>
    <w:p>
      <w:pPr>
        <w:numPr>
          <w:ilvl w:val="0"/>
          <w:numId w:val="1"/>
        </w:numPr>
        <w:shd w:val="clear"/>
        <w:spacing w:line="560" w:lineRule="exact"/>
        <w:outlineLvl w:val="1"/>
        <w:rPr>
          <w:rFonts w:ascii="仿宋_GB2312" w:eastAsia="仿宋_GB2312"/>
          <w:b/>
          <w:strike/>
          <w:sz w:val="32"/>
          <w:szCs w:val="32"/>
        </w:rPr>
      </w:pPr>
      <w:bookmarkStart w:id="63" w:name="_Toc29122"/>
      <w:bookmarkStart w:id="64" w:name="_Toc23154"/>
      <w:bookmarkStart w:id="65" w:name="_Toc70495109"/>
      <w:r>
        <w:rPr>
          <w:rFonts w:hint="eastAsia" w:ascii="楷体" w:hAnsi="楷体" w:eastAsia="楷体"/>
          <w:b/>
          <w:sz w:val="32"/>
          <w:szCs w:val="32"/>
        </w:rPr>
        <w:t>职称</w:t>
      </w:r>
    </w:p>
    <w:p>
      <w:pPr>
        <w:shd w:val="clear"/>
        <w:spacing w:line="560" w:lineRule="exact"/>
        <w:ind w:firstLine="640" w:firstLineChars="200"/>
        <w:rPr>
          <w:rFonts w:ascii="仿宋_GB2312" w:eastAsia="仿宋_GB2312"/>
          <w:sz w:val="32"/>
          <w:szCs w:val="32"/>
        </w:rPr>
      </w:pPr>
      <w:r>
        <w:rPr>
          <w:rFonts w:hint="eastAsia" w:ascii="仿宋_GB2312" w:eastAsia="仿宋_GB2312"/>
          <w:sz w:val="32"/>
          <w:szCs w:val="32"/>
        </w:rPr>
        <w:t>岗位资格条件要求的职称是指经社会化评审、全国统一考试或考核确认等方式取得的专业技术职务任职资格，不含通过非公有制企业职称评审方式取得的职称。</w:t>
      </w:r>
    </w:p>
    <w:p>
      <w:pPr>
        <w:shd w:val="clear"/>
        <w:spacing w:line="560" w:lineRule="exact"/>
        <w:ind w:firstLine="640" w:firstLineChars="200"/>
        <w:rPr>
          <w:rFonts w:ascii="仿宋_GB2312" w:eastAsia="仿宋_GB2312"/>
          <w:sz w:val="32"/>
          <w:szCs w:val="32"/>
        </w:rPr>
      </w:pPr>
      <w:r>
        <w:rPr>
          <w:rFonts w:hint="eastAsia" w:ascii="仿宋_GB2312" w:eastAsia="仿宋_GB2312"/>
          <w:sz w:val="32"/>
          <w:szCs w:val="32"/>
        </w:rPr>
        <w:t>在资格复核时，尚未取得岗位资格条件要求的职称证书的，可提供成绩单（须证明通过考试）、评审通过文件或考核确认表等有效材料。</w:t>
      </w:r>
      <w:r>
        <w:rPr>
          <w:rFonts w:hint="eastAsia" w:ascii="仿宋_GB2312" w:hAnsi="宋体" w:eastAsia="仿宋_GB2312"/>
          <w:sz w:val="32"/>
          <w:szCs w:val="32"/>
        </w:rPr>
        <w:t>2024年</w:t>
      </w:r>
      <w:r>
        <w:rPr>
          <w:rFonts w:hint="eastAsia" w:ascii="仿宋_GB2312" w:hAnsi="宋体" w:eastAsia="仿宋_GB2312" w:cs="宋体"/>
          <w:sz w:val="32"/>
          <w:szCs w:val="32"/>
        </w:rPr>
        <w:t>毕业的医学专业“四证合一</w:t>
      </w:r>
      <w:r>
        <w:rPr>
          <w:rFonts w:hint="eastAsia" w:ascii="仿宋_GB2312" w:hAnsi="宋体" w:eastAsia="仿宋_GB2312"/>
          <w:sz w:val="32"/>
          <w:szCs w:val="32"/>
        </w:rPr>
        <w:t>”</w:t>
      </w:r>
      <w:r>
        <w:rPr>
          <w:rFonts w:hint="eastAsia" w:ascii="仿宋_GB2312" w:hAnsi="宋体" w:eastAsia="仿宋_GB2312" w:cs="宋体"/>
          <w:sz w:val="32"/>
          <w:szCs w:val="32"/>
        </w:rPr>
        <w:t>应届研究生，在符合报考岗位其他资格条件的前提下，其医师资格证书可于</w:t>
      </w:r>
      <w:r>
        <w:rPr>
          <w:rFonts w:hint="eastAsia" w:ascii="仿宋_GB2312" w:hAnsi="宋体" w:eastAsia="仿宋_GB2312"/>
          <w:sz w:val="32"/>
          <w:szCs w:val="32"/>
        </w:rPr>
        <w:t>2024年12</w:t>
      </w:r>
      <w:r>
        <w:rPr>
          <w:rFonts w:hint="eastAsia" w:ascii="仿宋_GB2312" w:hAnsi="宋体" w:eastAsia="仿宋_GB2312" w:cs="宋体"/>
          <w:sz w:val="32"/>
          <w:szCs w:val="32"/>
        </w:rPr>
        <w:t>月</w:t>
      </w:r>
      <w:r>
        <w:rPr>
          <w:rFonts w:hint="eastAsia" w:ascii="仿宋_GB2312" w:hAnsi="宋体" w:eastAsia="仿宋_GB2312"/>
          <w:sz w:val="32"/>
          <w:szCs w:val="32"/>
        </w:rPr>
        <w:t>31</w:t>
      </w:r>
      <w:r>
        <w:rPr>
          <w:rFonts w:hint="eastAsia" w:ascii="仿宋_GB2312" w:hAnsi="宋体" w:eastAsia="仿宋_GB2312" w:cs="宋体"/>
          <w:sz w:val="32"/>
          <w:szCs w:val="32"/>
        </w:rPr>
        <w:t>日前随符合岗位报考条件的学历、学位证书一并提供。</w:t>
      </w:r>
    </w:p>
    <w:p>
      <w:pPr>
        <w:shd w:val="clear"/>
        <w:snapToGrid w:val="0"/>
        <w:spacing w:line="560" w:lineRule="exact"/>
        <w:ind w:firstLine="643" w:firstLineChars="200"/>
        <w:outlineLvl w:val="1"/>
        <w:rPr>
          <w:rFonts w:ascii="楷体_GB2312" w:hAnsi="楷体_GB2312" w:eastAsia="楷体_GB2312" w:cs="楷体_GB2312"/>
          <w:b/>
          <w:sz w:val="32"/>
          <w:szCs w:val="32"/>
        </w:rPr>
      </w:pPr>
      <w:r>
        <w:rPr>
          <w:rFonts w:hint="eastAsia" w:ascii="楷体_GB2312" w:hAnsi="楷体_GB2312" w:eastAsia="楷体_GB2312" w:cs="楷体_GB2312"/>
          <w:b/>
          <w:sz w:val="32"/>
          <w:szCs w:val="32"/>
        </w:rPr>
        <w:t>（二）生源</w:t>
      </w:r>
      <w:bookmarkEnd w:id="63"/>
    </w:p>
    <w:p>
      <w:pPr>
        <w:shd w:val="clear"/>
        <w:spacing w:line="560" w:lineRule="exact"/>
        <w:ind w:firstLine="640" w:firstLineChars="200"/>
        <w:rPr>
          <w:rFonts w:ascii="仿宋_GB2312" w:eastAsia="仿宋_GB2312"/>
          <w:sz w:val="32"/>
          <w:szCs w:val="32"/>
        </w:rPr>
      </w:pPr>
      <w:r>
        <w:rPr>
          <w:rFonts w:hint="eastAsia" w:ascii="仿宋_GB2312" w:eastAsia="仿宋_GB2312"/>
          <w:sz w:val="32"/>
          <w:szCs w:val="32"/>
        </w:rPr>
        <w:t>生源地为参加全国统一的普通高等学校招生考试时的户籍所在地。</w:t>
      </w:r>
    </w:p>
    <w:p>
      <w:pPr>
        <w:shd w:val="clear"/>
        <w:spacing w:line="560" w:lineRule="exact"/>
        <w:ind w:firstLine="640" w:firstLineChars="200"/>
        <w:rPr>
          <w:rFonts w:ascii="仿宋_GB2312" w:eastAsia="仿宋_GB2312"/>
          <w:sz w:val="32"/>
          <w:szCs w:val="32"/>
        </w:rPr>
      </w:pPr>
      <w:r>
        <w:rPr>
          <w:rFonts w:hint="eastAsia" w:ascii="仿宋_GB2312" w:eastAsia="仿宋_GB2312"/>
          <w:sz w:val="32"/>
          <w:szCs w:val="32"/>
        </w:rPr>
        <w:t>厦门生源毕业生是指入学前（指考入取得第一个全日制普通教育学历的院校前，下同）户籍和学籍在厦门市的全日制普通教育毕业生。符合以下条件之一的普通教育全日制毕业生可参照厦门生源：</w:t>
      </w:r>
    </w:p>
    <w:p>
      <w:pPr>
        <w:shd w:val="clear"/>
        <w:spacing w:line="560" w:lineRule="exact"/>
        <w:ind w:firstLine="640" w:firstLineChars="200"/>
        <w:rPr>
          <w:rFonts w:ascii="仿宋_GB2312" w:eastAsia="仿宋_GB2312"/>
          <w:sz w:val="32"/>
          <w:szCs w:val="32"/>
        </w:rPr>
      </w:pPr>
      <w:r>
        <w:rPr>
          <w:rFonts w:hint="eastAsia" w:ascii="仿宋_GB2312" w:eastAsia="仿宋_GB2312"/>
          <w:sz w:val="32"/>
          <w:szCs w:val="32"/>
        </w:rPr>
        <w:t>1.入学前户籍在厦门市但学籍不在厦门市的普通教育全日制毕业生；</w:t>
      </w:r>
    </w:p>
    <w:p>
      <w:pPr>
        <w:shd w:val="clear"/>
        <w:spacing w:line="560" w:lineRule="exact"/>
        <w:ind w:firstLine="640" w:firstLineChars="200"/>
        <w:rPr>
          <w:rFonts w:ascii="仿宋_GB2312" w:eastAsia="仿宋_GB2312"/>
          <w:sz w:val="32"/>
          <w:szCs w:val="32"/>
        </w:rPr>
      </w:pPr>
      <w:r>
        <w:rPr>
          <w:rFonts w:hint="eastAsia" w:ascii="仿宋_GB2312" w:eastAsia="仿宋_GB2312"/>
          <w:sz w:val="32"/>
          <w:szCs w:val="32"/>
        </w:rPr>
        <w:t>2.入学前户籍和学籍虽不在厦门市，但本次公开招聘报名截止日前父母或配偶有一方户籍在厦门市的普通教育全日制2024年应届毕业生；</w:t>
      </w:r>
    </w:p>
    <w:p>
      <w:pPr>
        <w:shd w:val="clear"/>
        <w:spacing w:line="560" w:lineRule="exact"/>
        <w:ind w:firstLine="640" w:firstLineChars="200"/>
        <w:rPr>
          <w:rFonts w:ascii="仿宋_GB2312" w:eastAsia="仿宋_GB2312"/>
          <w:sz w:val="32"/>
          <w:szCs w:val="32"/>
        </w:rPr>
      </w:pPr>
      <w:r>
        <w:rPr>
          <w:rFonts w:hint="eastAsia" w:ascii="仿宋_GB2312" w:eastAsia="仿宋_GB2312"/>
          <w:sz w:val="32"/>
          <w:szCs w:val="32"/>
        </w:rPr>
        <w:t>3.根据厦府办〔2011〕229号文规定来我市就读普通高中且将户籍迁入我市的外来学生，普通高中毕业后从我市考入普通高等院校的全日制普通教育毕业生。</w:t>
      </w:r>
    </w:p>
    <w:p>
      <w:pPr>
        <w:shd w:val="clear"/>
        <w:spacing w:line="560" w:lineRule="exact"/>
        <w:ind w:firstLine="640" w:firstLineChars="200"/>
        <w:rPr>
          <w:rFonts w:ascii="仿宋_GB2312" w:eastAsia="仿宋_GB2312"/>
          <w:sz w:val="32"/>
          <w:szCs w:val="32"/>
        </w:rPr>
      </w:pPr>
      <w:r>
        <w:rPr>
          <w:rFonts w:hint="eastAsia" w:ascii="仿宋_GB2312" w:eastAsia="仿宋_GB2312"/>
          <w:sz w:val="32"/>
          <w:szCs w:val="32"/>
        </w:rPr>
        <w:t>福建生源类推界定。</w:t>
      </w:r>
    </w:p>
    <w:p>
      <w:pPr>
        <w:shd w:val="clear"/>
        <w:snapToGrid w:val="0"/>
        <w:spacing w:line="560" w:lineRule="exact"/>
        <w:ind w:firstLine="643" w:firstLineChars="200"/>
        <w:outlineLvl w:val="1"/>
        <w:rPr>
          <w:rFonts w:ascii="楷体_GB2312" w:hAnsi="楷体_GB2312" w:eastAsia="楷体_GB2312" w:cs="楷体_GB2312"/>
          <w:b/>
          <w:sz w:val="32"/>
          <w:szCs w:val="32"/>
        </w:rPr>
      </w:pPr>
      <w:bookmarkStart w:id="66" w:name="_Toc21812"/>
      <w:r>
        <w:rPr>
          <w:rFonts w:hint="eastAsia" w:ascii="楷体_GB2312" w:hAnsi="楷体_GB2312" w:eastAsia="楷体_GB2312" w:cs="楷体_GB2312"/>
          <w:b/>
          <w:sz w:val="32"/>
          <w:szCs w:val="32"/>
        </w:rPr>
        <w:t>（三）港澳台人员</w:t>
      </w:r>
      <w:bookmarkEnd w:id="66"/>
    </w:p>
    <w:p>
      <w:pPr>
        <w:shd w:val="clear"/>
        <w:spacing w:line="560" w:lineRule="exact"/>
        <w:ind w:firstLine="640" w:firstLineChars="200"/>
        <w:rPr>
          <w:rFonts w:ascii="仿宋_GB2312" w:eastAsia="仿宋_GB2312"/>
          <w:sz w:val="32"/>
          <w:szCs w:val="32"/>
        </w:rPr>
      </w:pPr>
      <w:r>
        <w:rPr>
          <w:rFonts w:hint="eastAsia" w:ascii="仿宋_GB2312" w:eastAsia="仿宋_GB2312"/>
          <w:sz w:val="32"/>
          <w:szCs w:val="32"/>
        </w:rPr>
        <w:t>港澳台人员（不得持有外国籍）的招聘，按照国家、省和我市有关规定办理。</w:t>
      </w:r>
    </w:p>
    <w:p>
      <w:pPr>
        <w:shd w:val="clear"/>
        <w:snapToGrid w:val="0"/>
        <w:spacing w:line="560" w:lineRule="exact"/>
        <w:ind w:firstLine="643" w:firstLineChars="200"/>
        <w:outlineLvl w:val="1"/>
        <w:rPr>
          <w:rFonts w:ascii="楷体_GB2312" w:hAnsi="楷体_GB2312" w:eastAsia="楷体_GB2312" w:cs="楷体_GB2312"/>
          <w:b/>
          <w:sz w:val="32"/>
          <w:szCs w:val="32"/>
        </w:rPr>
      </w:pPr>
      <w:bookmarkStart w:id="67" w:name="_Toc24040"/>
      <w:r>
        <w:rPr>
          <w:rFonts w:hint="eastAsia" w:ascii="楷体_GB2312" w:hAnsi="楷体_GB2312" w:eastAsia="楷体_GB2312" w:cs="楷体_GB2312"/>
          <w:b/>
          <w:sz w:val="32"/>
          <w:szCs w:val="32"/>
        </w:rPr>
        <w:t>（四）技工院校毕业生</w:t>
      </w:r>
      <w:bookmarkEnd w:id="67"/>
    </w:p>
    <w:p>
      <w:pPr>
        <w:shd w:val="clear"/>
        <w:spacing w:line="560" w:lineRule="exact"/>
        <w:ind w:firstLine="640" w:firstLineChars="200"/>
        <w:outlineLvl w:val="1"/>
        <w:rPr>
          <w:rFonts w:ascii="仿宋_GB2312" w:eastAsia="仿宋_GB2312"/>
          <w:sz w:val="32"/>
          <w:szCs w:val="32"/>
        </w:rPr>
      </w:pPr>
      <w:r>
        <w:rPr>
          <w:rFonts w:hint="eastAsia" w:ascii="仿宋_GB2312" w:eastAsia="仿宋_GB2312"/>
          <w:sz w:val="32"/>
          <w:szCs w:val="32"/>
        </w:rPr>
        <w:t>技工院校全日制高级工班、预备技师（技师）班毕业，且毕业时已取得相应高级工、预备技师（技师）职业技能等级证书的，经招聘单位及主管部门同意，可分别视同大专、本科学历，报考我市市、区属事业单位招聘岗位。</w:t>
      </w:r>
    </w:p>
    <w:p>
      <w:pPr>
        <w:shd w:val="clear"/>
        <w:snapToGrid w:val="0"/>
        <w:spacing w:line="560" w:lineRule="exact"/>
        <w:ind w:firstLine="643" w:firstLineChars="200"/>
        <w:outlineLvl w:val="1"/>
        <w:rPr>
          <w:rFonts w:ascii="楷体_GB2312" w:hAnsi="楷体_GB2312" w:eastAsia="楷体_GB2312" w:cs="楷体_GB2312"/>
          <w:b/>
          <w:sz w:val="32"/>
          <w:szCs w:val="32"/>
        </w:rPr>
      </w:pPr>
      <w:r>
        <w:rPr>
          <w:rFonts w:hint="eastAsia" w:ascii="楷体_GB2312" w:hAnsi="楷体_GB2312" w:eastAsia="楷体_GB2312" w:cs="楷体_GB2312"/>
          <w:b/>
          <w:sz w:val="32"/>
          <w:szCs w:val="32"/>
        </w:rPr>
        <w:t>（五）</w:t>
      </w:r>
      <w:bookmarkEnd w:id="64"/>
      <w:bookmarkStart w:id="68" w:name="_Toc23840"/>
      <w:r>
        <w:rPr>
          <w:rFonts w:hint="eastAsia" w:ascii="楷体_GB2312" w:hAnsi="楷体_GB2312" w:eastAsia="楷体_GB2312" w:cs="楷体_GB2312"/>
          <w:b/>
          <w:sz w:val="32"/>
          <w:szCs w:val="32"/>
        </w:rPr>
        <w:t>规范化培训</w:t>
      </w:r>
      <w:bookmarkEnd w:id="68"/>
    </w:p>
    <w:p>
      <w:pPr>
        <w:widowControl/>
        <w:shd w:val="clear"/>
        <w:spacing w:line="560" w:lineRule="exact"/>
        <w:ind w:firstLine="620" w:firstLineChars="200"/>
      </w:pPr>
      <w:r>
        <w:rPr>
          <w:rFonts w:ascii="仿宋_GB2312" w:hAnsi="宋体" w:eastAsia="仿宋_GB2312" w:cs="仿宋_GB2312"/>
          <w:kern w:val="0"/>
          <w:sz w:val="31"/>
          <w:szCs w:val="31"/>
        </w:rPr>
        <w:t>岗位资格条件要求完成住院医师规范化培训的，是指按</w:t>
      </w:r>
      <w:r>
        <w:rPr>
          <w:rFonts w:hint="eastAsia" w:ascii="仿宋_GB2312" w:hAnsi="宋体" w:eastAsia="仿宋_GB2312" w:cs="仿宋_GB2312"/>
          <w:kern w:val="0"/>
          <w:sz w:val="31"/>
          <w:szCs w:val="31"/>
        </w:rPr>
        <w:t>照《住院医师规范化培训内容和标准（试行）》完成住院医师规范化培训</w:t>
      </w:r>
      <w:bookmarkStart w:id="70" w:name="_GoBack"/>
      <w:bookmarkEnd w:id="70"/>
      <w:r>
        <w:rPr>
          <w:rFonts w:hint="eastAsia" w:ascii="仿宋_GB2312" w:hAnsi="宋体" w:eastAsia="仿宋_GB2312" w:cs="仿宋_GB2312"/>
          <w:kern w:val="0"/>
          <w:sz w:val="31"/>
          <w:szCs w:val="31"/>
        </w:rPr>
        <w:t xml:space="preserve">内容并取得合格证书。 </w:t>
      </w:r>
    </w:p>
    <w:p>
      <w:pPr>
        <w:widowControl/>
        <w:shd w:val="clear"/>
        <w:spacing w:line="560" w:lineRule="exact"/>
        <w:ind w:firstLine="620" w:firstLineChars="200"/>
      </w:pPr>
      <w:r>
        <w:rPr>
          <w:rFonts w:hint="eastAsia" w:ascii="仿宋_GB2312" w:hAnsi="宋体" w:eastAsia="仿宋_GB2312" w:cs="仿宋_GB2312"/>
          <w:kern w:val="0"/>
          <w:sz w:val="31"/>
          <w:szCs w:val="31"/>
        </w:rPr>
        <w:t xml:space="preserve">报考者须于资格复核时提供岗位资格条件要求的规范化培训合格证书或通过考试成绩单。2024年毕业的医学专业“四证合一”应届研究生，在符合报考岗位其他资格条件的前提下，其住院医师规范化培训合格证书可于 2024年12月31日前提供。 </w:t>
      </w:r>
    </w:p>
    <w:p>
      <w:pPr>
        <w:widowControl/>
        <w:shd w:val="clear"/>
        <w:spacing w:line="560" w:lineRule="exact"/>
        <w:ind w:firstLine="620" w:firstLineChars="200"/>
        <w:rPr>
          <w:rFonts w:ascii="仿宋_GB2312" w:hAnsi="宋体" w:eastAsia="仿宋_GB2312" w:cs="仿宋_GB2312"/>
          <w:kern w:val="0"/>
          <w:sz w:val="31"/>
          <w:szCs w:val="31"/>
        </w:rPr>
      </w:pPr>
      <w:r>
        <w:rPr>
          <w:rFonts w:hint="eastAsia" w:ascii="仿宋_GB2312" w:hAnsi="宋体" w:eastAsia="仿宋_GB2312" w:cs="仿宋_GB2312"/>
          <w:kern w:val="0"/>
          <w:sz w:val="31"/>
          <w:szCs w:val="31"/>
        </w:rPr>
        <w:t>面向社会招收的住院医师如为普通高校应届毕业生的，其住培合格当年在医疗卫生机构就业，按当年应届毕业生同等对待；经住培合格的本科学历临床医师，按临床医学、口腔医学、中医专业学位硕士研究生同等对待，其中住培合格证书中的培训专业原则上应当与招聘岗位的专业或类别要求相一致。</w:t>
      </w:r>
    </w:p>
    <w:p>
      <w:pPr>
        <w:shd w:val="clear"/>
        <w:snapToGrid w:val="0"/>
        <w:spacing w:line="560" w:lineRule="exact"/>
        <w:ind w:firstLine="643" w:firstLineChars="200"/>
        <w:outlineLvl w:val="1"/>
        <w:rPr>
          <w:rFonts w:ascii="楷体_GB2312" w:hAnsi="楷体_GB2312" w:eastAsia="楷体_GB2312" w:cs="楷体_GB2312"/>
          <w:b/>
          <w:sz w:val="32"/>
          <w:szCs w:val="32"/>
        </w:rPr>
      </w:pPr>
      <w:bookmarkStart w:id="69" w:name="_Toc15409"/>
      <w:r>
        <w:rPr>
          <w:rFonts w:hint="eastAsia" w:ascii="楷体_GB2312" w:hAnsi="楷体_GB2312" w:eastAsia="楷体_GB2312" w:cs="楷体_GB2312"/>
          <w:b/>
          <w:sz w:val="32"/>
          <w:szCs w:val="32"/>
        </w:rPr>
        <w:t>（六）其他</w:t>
      </w:r>
      <w:bookmarkEnd w:id="69"/>
    </w:p>
    <w:p>
      <w:pPr>
        <w:widowControl/>
        <w:shd w:val="clear"/>
        <w:spacing w:line="560" w:lineRule="exact"/>
        <w:ind w:firstLine="620" w:firstLineChars="200"/>
        <w:jc w:val="left"/>
        <w:rPr>
          <w:rFonts w:ascii="仿宋_GB2312" w:hAnsi="宋体" w:eastAsia="仿宋_GB2312" w:cs="仿宋_GB2312"/>
          <w:kern w:val="0"/>
          <w:sz w:val="31"/>
          <w:szCs w:val="31"/>
        </w:rPr>
      </w:pPr>
      <w:r>
        <w:rPr>
          <w:rFonts w:hint="eastAsia" w:ascii="仿宋_GB2312" w:hAnsi="宋体" w:eastAsia="仿宋_GB2312" w:cs="仿宋_GB2312"/>
          <w:kern w:val="0"/>
          <w:sz w:val="31"/>
          <w:szCs w:val="31"/>
        </w:rPr>
        <w:t>2024年毕业的医学专业“四证合一”应届研究生已取得《医师执业证书》但未明确执业范围且最高学历所学专业为岗位要求专业的，可以报考</w:t>
      </w:r>
      <w:r>
        <w:rPr>
          <w:rFonts w:hint="eastAsia" w:ascii="仿宋_GB2312" w:hAnsi="仿宋_GB2312" w:eastAsia="仿宋_GB2312" w:cs="仿宋_GB2312"/>
          <w:sz w:val="32"/>
          <w:szCs w:val="32"/>
        </w:rPr>
        <w:t>岗位资格条件</w:t>
      </w:r>
      <w:r>
        <w:rPr>
          <w:rFonts w:hint="eastAsia" w:ascii="仿宋_GB2312" w:hAnsi="宋体" w:eastAsia="仿宋_GB2312" w:cs="仿宋_GB2312"/>
          <w:kern w:val="0"/>
          <w:sz w:val="31"/>
          <w:szCs w:val="31"/>
        </w:rPr>
        <w:t>中有明确要求执业范围的岗位。</w:t>
      </w:r>
    </w:p>
    <w:bookmarkEnd w:id="65"/>
    <w:p>
      <w:pPr>
        <w:shd w:val="clear"/>
        <w:snapToGrid w:val="0"/>
        <w:spacing w:line="560" w:lineRule="exact"/>
        <w:ind w:firstLine="640" w:firstLineChars="200"/>
        <w:rPr>
          <w:rFonts w:ascii="仿宋_GB2312" w:hAnsi="仿宋_GB2312" w:eastAsia="仿宋_GB2312" w:cs="仿宋_GB2312"/>
          <w:sz w:val="32"/>
          <w:szCs w:val="32"/>
        </w:rPr>
      </w:pPr>
    </w:p>
    <w:sectPr>
      <w:pgSz w:w="11906" w:h="16838"/>
      <w:pgMar w:top="2098" w:right="1474" w:bottom="1984" w:left="1587" w:header="851" w:footer="992"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Text Box 1" o:spid="_x0000_s4097" o:spt="202" type="#_x0000_t202" style="position:absolute;left:0pt;margin-top:0pt;height:11pt;width:4.6pt;mso-position-horizontal:center;mso-position-horizontal-relative:margin;mso-wrap-style:none;z-index:1024;mso-width-relative:page;mso-height-relative:page;" filled="f" stroked="f" coordsize="21600,21600">
          <v:path/>
          <v:fill on="f" focussize="0,0"/>
          <v:stroke on="f" joinstyle="miter"/>
          <v:imagedata o:title=""/>
          <o:lock v:ext="edit"/>
          <v:textbox inset="0mm,0mm,0mm,0mm" style="mso-fit-shape-to-text:t;">
            <w:txbxContent>
              <w:p>
                <w:pPr>
                  <w:pStyle w:val="5"/>
                </w:pPr>
                <w:r>
                  <w:fldChar w:fldCharType="begin"/>
                </w:r>
                <w:r>
                  <w:instrText xml:space="preserve"> PAGE  \* MERGEFORMAT </w:instrText>
                </w:r>
                <w:r>
                  <w:fldChar w:fldCharType="separate"/>
                </w:r>
                <w:r>
                  <w:t>16</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CB4CBE"/>
    <w:multiLevelType w:val="singleLevel"/>
    <w:tmpl w:val="6DCB4CBE"/>
    <w:lvl w:ilvl="0" w:tentative="0">
      <w:start w:val="1"/>
      <w:numFmt w:val="chineseCounting"/>
      <w:suff w:val="nothing"/>
      <w:lvlText w:val="（%1）"/>
      <w:lvlJc w:val="left"/>
      <w:pPr>
        <w:ind w:left="0" w:firstLine="420"/>
      </w:pPr>
      <w:rPr>
        <w:rFonts w:hint="eastAsia" w:ascii="楷体" w:hAnsi="楷体" w:eastAsia="楷体" w:cs="楷体"/>
        <w:strike w:val="0"/>
        <w:dstrike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3A16"/>
    <w:rsid w:val="00024CCB"/>
    <w:rsid w:val="000327EA"/>
    <w:rsid w:val="00034B8E"/>
    <w:rsid w:val="0004009B"/>
    <w:rsid w:val="00040619"/>
    <w:rsid w:val="00061345"/>
    <w:rsid w:val="000630F5"/>
    <w:rsid w:val="00083710"/>
    <w:rsid w:val="0009347B"/>
    <w:rsid w:val="000A75FC"/>
    <w:rsid w:val="000B0FC0"/>
    <w:rsid w:val="000B1E6E"/>
    <w:rsid w:val="000C0BBE"/>
    <w:rsid w:val="000C1A79"/>
    <w:rsid w:val="00101C63"/>
    <w:rsid w:val="001141D7"/>
    <w:rsid w:val="00137BC5"/>
    <w:rsid w:val="0014786A"/>
    <w:rsid w:val="0017732C"/>
    <w:rsid w:val="00193395"/>
    <w:rsid w:val="001B0419"/>
    <w:rsid w:val="001B41A7"/>
    <w:rsid w:val="001C3B14"/>
    <w:rsid w:val="001D2812"/>
    <w:rsid w:val="001D2B43"/>
    <w:rsid w:val="001D3F6C"/>
    <w:rsid w:val="001E744A"/>
    <w:rsid w:val="001F633A"/>
    <w:rsid w:val="00213A8B"/>
    <w:rsid w:val="00236AB8"/>
    <w:rsid w:val="002472E9"/>
    <w:rsid w:val="0025439C"/>
    <w:rsid w:val="00260B60"/>
    <w:rsid w:val="00273D3A"/>
    <w:rsid w:val="00283FFF"/>
    <w:rsid w:val="002870B8"/>
    <w:rsid w:val="0029226C"/>
    <w:rsid w:val="002A4F64"/>
    <w:rsid w:val="002A6E56"/>
    <w:rsid w:val="002E7744"/>
    <w:rsid w:val="002F6529"/>
    <w:rsid w:val="0031053B"/>
    <w:rsid w:val="00323E6F"/>
    <w:rsid w:val="00327314"/>
    <w:rsid w:val="00327D0C"/>
    <w:rsid w:val="0033190A"/>
    <w:rsid w:val="003413FD"/>
    <w:rsid w:val="00352943"/>
    <w:rsid w:val="003758FD"/>
    <w:rsid w:val="0038584A"/>
    <w:rsid w:val="00390791"/>
    <w:rsid w:val="00393C30"/>
    <w:rsid w:val="0039564C"/>
    <w:rsid w:val="003A7D13"/>
    <w:rsid w:val="003B30DD"/>
    <w:rsid w:val="003B3661"/>
    <w:rsid w:val="003F123B"/>
    <w:rsid w:val="003F1339"/>
    <w:rsid w:val="003F6248"/>
    <w:rsid w:val="00413DE3"/>
    <w:rsid w:val="00421000"/>
    <w:rsid w:val="004319DA"/>
    <w:rsid w:val="00456285"/>
    <w:rsid w:val="00473054"/>
    <w:rsid w:val="004869E0"/>
    <w:rsid w:val="004A42A3"/>
    <w:rsid w:val="004B1561"/>
    <w:rsid w:val="004B2DED"/>
    <w:rsid w:val="004B6278"/>
    <w:rsid w:val="004C2B60"/>
    <w:rsid w:val="004C740D"/>
    <w:rsid w:val="004D576A"/>
    <w:rsid w:val="004E3ED6"/>
    <w:rsid w:val="00503D56"/>
    <w:rsid w:val="005250F7"/>
    <w:rsid w:val="005345D7"/>
    <w:rsid w:val="00541E5E"/>
    <w:rsid w:val="00544387"/>
    <w:rsid w:val="005519B3"/>
    <w:rsid w:val="00551B2B"/>
    <w:rsid w:val="00555C24"/>
    <w:rsid w:val="00565159"/>
    <w:rsid w:val="00567350"/>
    <w:rsid w:val="00574AF0"/>
    <w:rsid w:val="005846E1"/>
    <w:rsid w:val="005905E7"/>
    <w:rsid w:val="005917A9"/>
    <w:rsid w:val="005B69E2"/>
    <w:rsid w:val="005F6CA6"/>
    <w:rsid w:val="0060284B"/>
    <w:rsid w:val="00607711"/>
    <w:rsid w:val="006103D3"/>
    <w:rsid w:val="0061384E"/>
    <w:rsid w:val="006158CB"/>
    <w:rsid w:val="006213DD"/>
    <w:rsid w:val="00621ACA"/>
    <w:rsid w:val="006223EA"/>
    <w:rsid w:val="006229D9"/>
    <w:rsid w:val="00631E9A"/>
    <w:rsid w:val="00645369"/>
    <w:rsid w:val="006542B0"/>
    <w:rsid w:val="00665DA5"/>
    <w:rsid w:val="00681410"/>
    <w:rsid w:val="006819D7"/>
    <w:rsid w:val="006833C8"/>
    <w:rsid w:val="0069064B"/>
    <w:rsid w:val="006A3257"/>
    <w:rsid w:val="006A506D"/>
    <w:rsid w:val="006A5852"/>
    <w:rsid w:val="006D5211"/>
    <w:rsid w:val="006E3BAA"/>
    <w:rsid w:val="00702F8A"/>
    <w:rsid w:val="007220D0"/>
    <w:rsid w:val="00723CB1"/>
    <w:rsid w:val="007400FA"/>
    <w:rsid w:val="00756EC5"/>
    <w:rsid w:val="007705E8"/>
    <w:rsid w:val="00777E4A"/>
    <w:rsid w:val="00790DAD"/>
    <w:rsid w:val="00791B25"/>
    <w:rsid w:val="00791D16"/>
    <w:rsid w:val="00795CB9"/>
    <w:rsid w:val="007967EA"/>
    <w:rsid w:val="007C1B59"/>
    <w:rsid w:val="007C4212"/>
    <w:rsid w:val="007D437E"/>
    <w:rsid w:val="007E41A3"/>
    <w:rsid w:val="007F533F"/>
    <w:rsid w:val="0080368F"/>
    <w:rsid w:val="008132CA"/>
    <w:rsid w:val="00832857"/>
    <w:rsid w:val="0083620D"/>
    <w:rsid w:val="008610BF"/>
    <w:rsid w:val="00872411"/>
    <w:rsid w:val="00877227"/>
    <w:rsid w:val="00881AA0"/>
    <w:rsid w:val="008823A1"/>
    <w:rsid w:val="00895091"/>
    <w:rsid w:val="008A5364"/>
    <w:rsid w:val="008B35DF"/>
    <w:rsid w:val="008B603D"/>
    <w:rsid w:val="008B79ED"/>
    <w:rsid w:val="008D1852"/>
    <w:rsid w:val="00905C34"/>
    <w:rsid w:val="00913B6C"/>
    <w:rsid w:val="00940152"/>
    <w:rsid w:val="00950F30"/>
    <w:rsid w:val="00954E45"/>
    <w:rsid w:val="00962CC8"/>
    <w:rsid w:val="00972D58"/>
    <w:rsid w:val="00995277"/>
    <w:rsid w:val="009A3578"/>
    <w:rsid w:val="009D0DDC"/>
    <w:rsid w:val="009D6F29"/>
    <w:rsid w:val="009D7416"/>
    <w:rsid w:val="009E4603"/>
    <w:rsid w:val="009E4D11"/>
    <w:rsid w:val="00A01963"/>
    <w:rsid w:val="00A06918"/>
    <w:rsid w:val="00A1489E"/>
    <w:rsid w:val="00A217A8"/>
    <w:rsid w:val="00A268DE"/>
    <w:rsid w:val="00A32FC9"/>
    <w:rsid w:val="00A57868"/>
    <w:rsid w:val="00A65DD2"/>
    <w:rsid w:val="00A74F77"/>
    <w:rsid w:val="00A805DA"/>
    <w:rsid w:val="00A84DFE"/>
    <w:rsid w:val="00AA508C"/>
    <w:rsid w:val="00AA6BF1"/>
    <w:rsid w:val="00AB091A"/>
    <w:rsid w:val="00AB1E03"/>
    <w:rsid w:val="00AB6A05"/>
    <w:rsid w:val="00AC5424"/>
    <w:rsid w:val="00B215F6"/>
    <w:rsid w:val="00B24F71"/>
    <w:rsid w:val="00B26EC3"/>
    <w:rsid w:val="00B30772"/>
    <w:rsid w:val="00B32262"/>
    <w:rsid w:val="00B42C35"/>
    <w:rsid w:val="00B46E15"/>
    <w:rsid w:val="00B84020"/>
    <w:rsid w:val="00B91E17"/>
    <w:rsid w:val="00B950B3"/>
    <w:rsid w:val="00BA29B7"/>
    <w:rsid w:val="00BA31A7"/>
    <w:rsid w:val="00BB2B71"/>
    <w:rsid w:val="00BF0C5A"/>
    <w:rsid w:val="00BF58CD"/>
    <w:rsid w:val="00C009D9"/>
    <w:rsid w:val="00C10BBC"/>
    <w:rsid w:val="00C11140"/>
    <w:rsid w:val="00C121E0"/>
    <w:rsid w:val="00C14388"/>
    <w:rsid w:val="00C2186B"/>
    <w:rsid w:val="00C2304E"/>
    <w:rsid w:val="00C37E04"/>
    <w:rsid w:val="00C66186"/>
    <w:rsid w:val="00C71E92"/>
    <w:rsid w:val="00C8052F"/>
    <w:rsid w:val="00C8405A"/>
    <w:rsid w:val="00C845B5"/>
    <w:rsid w:val="00C94477"/>
    <w:rsid w:val="00CA3A16"/>
    <w:rsid w:val="00CA562B"/>
    <w:rsid w:val="00CA6F69"/>
    <w:rsid w:val="00CE73F4"/>
    <w:rsid w:val="00D03D42"/>
    <w:rsid w:val="00D07CFE"/>
    <w:rsid w:val="00D17020"/>
    <w:rsid w:val="00D34958"/>
    <w:rsid w:val="00D37E5D"/>
    <w:rsid w:val="00D402E6"/>
    <w:rsid w:val="00D40F5F"/>
    <w:rsid w:val="00D43CF0"/>
    <w:rsid w:val="00D47F20"/>
    <w:rsid w:val="00D86DD5"/>
    <w:rsid w:val="00DA3C97"/>
    <w:rsid w:val="00DA5FC0"/>
    <w:rsid w:val="00DA7FB5"/>
    <w:rsid w:val="00DB0B27"/>
    <w:rsid w:val="00DB223A"/>
    <w:rsid w:val="00DD58E0"/>
    <w:rsid w:val="00DF4534"/>
    <w:rsid w:val="00E008D4"/>
    <w:rsid w:val="00E024DE"/>
    <w:rsid w:val="00E20B63"/>
    <w:rsid w:val="00E263FF"/>
    <w:rsid w:val="00E43EED"/>
    <w:rsid w:val="00E45BCB"/>
    <w:rsid w:val="00E501FF"/>
    <w:rsid w:val="00E64BFF"/>
    <w:rsid w:val="00E85A5E"/>
    <w:rsid w:val="00EA31FA"/>
    <w:rsid w:val="00EA35A1"/>
    <w:rsid w:val="00EB4277"/>
    <w:rsid w:val="00EC0FDE"/>
    <w:rsid w:val="00EE4163"/>
    <w:rsid w:val="00EE7384"/>
    <w:rsid w:val="00F02E49"/>
    <w:rsid w:val="00F0419D"/>
    <w:rsid w:val="00F07FBE"/>
    <w:rsid w:val="00F12DD7"/>
    <w:rsid w:val="00F135AC"/>
    <w:rsid w:val="00F2449F"/>
    <w:rsid w:val="00F24AC9"/>
    <w:rsid w:val="00F34B3F"/>
    <w:rsid w:val="00F42131"/>
    <w:rsid w:val="00F44D41"/>
    <w:rsid w:val="00F5073D"/>
    <w:rsid w:val="00F5550C"/>
    <w:rsid w:val="00F60F54"/>
    <w:rsid w:val="00F65A11"/>
    <w:rsid w:val="00F8296D"/>
    <w:rsid w:val="00F84DA1"/>
    <w:rsid w:val="00FC084C"/>
    <w:rsid w:val="00FC74FA"/>
    <w:rsid w:val="00FC7AD4"/>
    <w:rsid w:val="012E4057"/>
    <w:rsid w:val="01706B3D"/>
    <w:rsid w:val="01864305"/>
    <w:rsid w:val="029C19EF"/>
    <w:rsid w:val="02AF79A2"/>
    <w:rsid w:val="039D63E2"/>
    <w:rsid w:val="0431644B"/>
    <w:rsid w:val="05AC43BD"/>
    <w:rsid w:val="05D97382"/>
    <w:rsid w:val="060D0DBE"/>
    <w:rsid w:val="063C65E5"/>
    <w:rsid w:val="06B534C8"/>
    <w:rsid w:val="06D75243"/>
    <w:rsid w:val="085459A4"/>
    <w:rsid w:val="089D2016"/>
    <w:rsid w:val="09283A63"/>
    <w:rsid w:val="09D1113A"/>
    <w:rsid w:val="0A2926EC"/>
    <w:rsid w:val="0ABE0466"/>
    <w:rsid w:val="0B0A2E66"/>
    <w:rsid w:val="0BCA2B3D"/>
    <w:rsid w:val="0C42075F"/>
    <w:rsid w:val="0C62192F"/>
    <w:rsid w:val="0C9537CF"/>
    <w:rsid w:val="0CB229A4"/>
    <w:rsid w:val="0CFA7F8B"/>
    <w:rsid w:val="0EC36EF9"/>
    <w:rsid w:val="0EEC0086"/>
    <w:rsid w:val="0EFC1000"/>
    <w:rsid w:val="0FB1548E"/>
    <w:rsid w:val="0FE91000"/>
    <w:rsid w:val="11D50F5D"/>
    <w:rsid w:val="127C59E8"/>
    <w:rsid w:val="12B17B3E"/>
    <w:rsid w:val="135A5B2F"/>
    <w:rsid w:val="137A7CA3"/>
    <w:rsid w:val="14CE1044"/>
    <w:rsid w:val="15714F96"/>
    <w:rsid w:val="15D95F9E"/>
    <w:rsid w:val="17132CD9"/>
    <w:rsid w:val="17ED26CB"/>
    <w:rsid w:val="1883196F"/>
    <w:rsid w:val="18DC4FBF"/>
    <w:rsid w:val="19F2321C"/>
    <w:rsid w:val="1A6D1194"/>
    <w:rsid w:val="1B4D3A90"/>
    <w:rsid w:val="1E381C14"/>
    <w:rsid w:val="1EAE54C8"/>
    <w:rsid w:val="1FAD1DE7"/>
    <w:rsid w:val="206474C3"/>
    <w:rsid w:val="20AB3B48"/>
    <w:rsid w:val="20D11DC7"/>
    <w:rsid w:val="2107136B"/>
    <w:rsid w:val="212E6965"/>
    <w:rsid w:val="21CD6AB5"/>
    <w:rsid w:val="21F41D88"/>
    <w:rsid w:val="23B83892"/>
    <w:rsid w:val="23DA0315"/>
    <w:rsid w:val="242714D3"/>
    <w:rsid w:val="248C709C"/>
    <w:rsid w:val="25454C78"/>
    <w:rsid w:val="25637318"/>
    <w:rsid w:val="25B64A56"/>
    <w:rsid w:val="262877F4"/>
    <w:rsid w:val="27312756"/>
    <w:rsid w:val="27434329"/>
    <w:rsid w:val="27613E34"/>
    <w:rsid w:val="28654F9C"/>
    <w:rsid w:val="28CF4676"/>
    <w:rsid w:val="29A27F83"/>
    <w:rsid w:val="29DC3048"/>
    <w:rsid w:val="2A46176F"/>
    <w:rsid w:val="2A681CA7"/>
    <w:rsid w:val="2AB93EDB"/>
    <w:rsid w:val="2B5A73B3"/>
    <w:rsid w:val="2C0C1B4F"/>
    <w:rsid w:val="2D0A1C91"/>
    <w:rsid w:val="2D146264"/>
    <w:rsid w:val="2D1620D0"/>
    <w:rsid w:val="2D3D3232"/>
    <w:rsid w:val="2D8F5E9A"/>
    <w:rsid w:val="2E10141D"/>
    <w:rsid w:val="2EBF1CF7"/>
    <w:rsid w:val="2ED55ABF"/>
    <w:rsid w:val="2EF03772"/>
    <w:rsid w:val="2F5A04DD"/>
    <w:rsid w:val="2FCF1868"/>
    <w:rsid w:val="2FF31FA0"/>
    <w:rsid w:val="30F8458A"/>
    <w:rsid w:val="3112736D"/>
    <w:rsid w:val="330D7063"/>
    <w:rsid w:val="331D1B45"/>
    <w:rsid w:val="34054802"/>
    <w:rsid w:val="34171B12"/>
    <w:rsid w:val="34407745"/>
    <w:rsid w:val="34FD21E1"/>
    <w:rsid w:val="36254EF0"/>
    <w:rsid w:val="36433543"/>
    <w:rsid w:val="36541C68"/>
    <w:rsid w:val="38303C6E"/>
    <w:rsid w:val="387E7A86"/>
    <w:rsid w:val="38A17E31"/>
    <w:rsid w:val="38FD340C"/>
    <w:rsid w:val="390E6A3F"/>
    <w:rsid w:val="39DE51F3"/>
    <w:rsid w:val="3A4A0A80"/>
    <w:rsid w:val="3B1D6F7D"/>
    <w:rsid w:val="3CAA7142"/>
    <w:rsid w:val="3D3C6670"/>
    <w:rsid w:val="3D5926B2"/>
    <w:rsid w:val="3E742100"/>
    <w:rsid w:val="3ECC1AD5"/>
    <w:rsid w:val="40280F9C"/>
    <w:rsid w:val="41FD4244"/>
    <w:rsid w:val="431A4FDF"/>
    <w:rsid w:val="451E0B82"/>
    <w:rsid w:val="45C66CF9"/>
    <w:rsid w:val="45D103AB"/>
    <w:rsid w:val="45D321F0"/>
    <w:rsid w:val="46DF3096"/>
    <w:rsid w:val="47240519"/>
    <w:rsid w:val="48613330"/>
    <w:rsid w:val="48C75D1F"/>
    <w:rsid w:val="4C9B4511"/>
    <w:rsid w:val="4D667BAF"/>
    <w:rsid w:val="4E073F0E"/>
    <w:rsid w:val="4E7B6BE7"/>
    <w:rsid w:val="4EBD7FB6"/>
    <w:rsid w:val="4EC918D2"/>
    <w:rsid w:val="4EE73456"/>
    <w:rsid w:val="4EFE0085"/>
    <w:rsid w:val="50247421"/>
    <w:rsid w:val="50B679B6"/>
    <w:rsid w:val="50C56250"/>
    <w:rsid w:val="5131416E"/>
    <w:rsid w:val="51C74C19"/>
    <w:rsid w:val="52FB3729"/>
    <w:rsid w:val="53564D9D"/>
    <w:rsid w:val="540313D5"/>
    <w:rsid w:val="54EC7875"/>
    <w:rsid w:val="556851B9"/>
    <w:rsid w:val="56BE477A"/>
    <w:rsid w:val="576F2D86"/>
    <w:rsid w:val="579E6CD9"/>
    <w:rsid w:val="58957AF6"/>
    <w:rsid w:val="58BE409B"/>
    <w:rsid w:val="595208AE"/>
    <w:rsid w:val="5A551433"/>
    <w:rsid w:val="5A6E3F82"/>
    <w:rsid w:val="5A9340A0"/>
    <w:rsid w:val="5AAA10A0"/>
    <w:rsid w:val="5B802150"/>
    <w:rsid w:val="5BF24A76"/>
    <w:rsid w:val="5C033BC0"/>
    <w:rsid w:val="5C620362"/>
    <w:rsid w:val="5C976E58"/>
    <w:rsid w:val="5DFF4EA3"/>
    <w:rsid w:val="5E1C0D12"/>
    <w:rsid w:val="5EAB5FC1"/>
    <w:rsid w:val="5F3A704F"/>
    <w:rsid w:val="602A3FA6"/>
    <w:rsid w:val="61135A5D"/>
    <w:rsid w:val="62E81473"/>
    <w:rsid w:val="633A3546"/>
    <w:rsid w:val="642C7E79"/>
    <w:rsid w:val="6529276A"/>
    <w:rsid w:val="65561D37"/>
    <w:rsid w:val="662218A6"/>
    <w:rsid w:val="67587B68"/>
    <w:rsid w:val="688F48E3"/>
    <w:rsid w:val="699B2168"/>
    <w:rsid w:val="6A036F24"/>
    <w:rsid w:val="6A1F5B15"/>
    <w:rsid w:val="6ACA2314"/>
    <w:rsid w:val="6BB73BC1"/>
    <w:rsid w:val="6BE172C8"/>
    <w:rsid w:val="6D9912B9"/>
    <w:rsid w:val="6E350CCC"/>
    <w:rsid w:val="6E7C5CB3"/>
    <w:rsid w:val="6F122394"/>
    <w:rsid w:val="6FEE47F4"/>
    <w:rsid w:val="70A854E5"/>
    <w:rsid w:val="70EA56E6"/>
    <w:rsid w:val="70EE53CD"/>
    <w:rsid w:val="72080B36"/>
    <w:rsid w:val="736B2384"/>
    <w:rsid w:val="743C5AC7"/>
    <w:rsid w:val="746F7336"/>
    <w:rsid w:val="747852FC"/>
    <w:rsid w:val="75CD167C"/>
    <w:rsid w:val="76F70E5D"/>
    <w:rsid w:val="777506C5"/>
    <w:rsid w:val="77B87675"/>
    <w:rsid w:val="77EC41DA"/>
    <w:rsid w:val="785B6B77"/>
    <w:rsid w:val="78E77648"/>
    <w:rsid w:val="796D3657"/>
    <w:rsid w:val="7A595755"/>
    <w:rsid w:val="7AEA5CB2"/>
    <w:rsid w:val="7B090008"/>
    <w:rsid w:val="7BF511F2"/>
    <w:rsid w:val="7C4A1585"/>
    <w:rsid w:val="7DA302C5"/>
    <w:rsid w:val="7DD8399D"/>
    <w:rsid w:val="7F526B1C"/>
    <w:rsid w:val="7FE650A6"/>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5"/>
    <w:qFormat/>
    <w:locked/>
    <w:uiPriority w:val="99"/>
    <w:pPr>
      <w:keepNext/>
      <w:keepLines/>
      <w:spacing w:line="576" w:lineRule="auto"/>
      <w:outlineLvl w:val="0"/>
    </w:pPr>
    <w:rPr>
      <w:b/>
      <w:kern w:val="44"/>
      <w:sz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link w:val="16"/>
    <w:semiHidden/>
    <w:qFormat/>
    <w:uiPriority w:val="99"/>
    <w:pPr>
      <w:jc w:val="left"/>
    </w:pPr>
  </w:style>
  <w:style w:type="paragraph" w:styleId="4">
    <w:name w:val="Balloon Text"/>
    <w:basedOn w:val="1"/>
    <w:link w:val="17"/>
    <w:semiHidden/>
    <w:qFormat/>
    <w:uiPriority w:val="99"/>
    <w:rPr>
      <w:sz w:val="18"/>
      <w:szCs w:val="18"/>
    </w:rPr>
  </w:style>
  <w:style w:type="paragraph" w:styleId="5">
    <w:name w:val="footer"/>
    <w:basedOn w:val="1"/>
    <w:link w:val="18"/>
    <w:qFormat/>
    <w:uiPriority w:val="99"/>
    <w:pPr>
      <w:tabs>
        <w:tab w:val="center" w:pos="4153"/>
        <w:tab w:val="right" w:pos="8306"/>
      </w:tabs>
      <w:snapToGrid w:val="0"/>
      <w:jc w:val="left"/>
    </w:pPr>
    <w:rPr>
      <w:sz w:val="18"/>
      <w:szCs w:val="18"/>
    </w:rPr>
  </w:style>
  <w:style w:type="paragraph" w:styleId="6">
    <w:name w:val="header"/>
    <w:basedOn w:val="1"/>
    <w:link w:val="19"/>
    <w:semiHidden/>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99"/>
  </w:style>
  <w:style w:type="paragraph" w:styleId="8">
    <w:name w:val="toc 2"/>
    <w:basedOn w:val="1"/>
    <w:next w:val="1"/>
    <w:qFormat/>
    <w:uiPriority w:val="99"/>
    <w:pPr>
      <w:ind w:left="420" w:leftChars="200"/>
    </w:pPr>
  </w:style>
  <w:style w:type="paragraph" w:styleId="9">
    <w:name w:val="Normal (Web)"/>
    <w:basedOn w:val="1"/>
    <w:unhideWhenUsed/>
    <w:qFormat/>
    <w:uiPriority w:val="99"/>
    <w:pPr>
      <w:spacing w:before="100" w:beforeAutospacing="1" w:after="100" w:afterAutospacing="1"/>
      <w:jc w:val="left"/>
    </w:pPr>
    <w:rPr>
      <w:kern w:val="0"/>
      <w:sz w:val="24"/>
    </w:rPr>
  </w:style>
  <w:style w:type="character" w:styleId="12">
    <w:name w:val="FollowedHyperlink"/>
    <w:basedOn w:val="11"/>
    <w:qFormat/>
    <w:uiPriority w:val="99"/>
    <w:rPr>
      <w:rFonts w:cs="Times New Roman"/>
      <w:color w:val="800080"/>
      <w:u w:val="single"/>
    </w:rPr>
  </w:style>
  <w:style w:type="character" w:styleId="13">
    <w:name w:val="Hyperlink"/>
    <w:basedOn w:val="11"/>
    <w:qFormat/>
    <w:uiPriority w:val="99"/>
    <w:rPr>
      <w:rFonts w:cs="Times New Roman"/>
      <w:color w:val="0000FF"/>
      <w:u w:val="single"/>
    </w:rPr>
  </w:style>
  <w:style w:type="character" w:styleId="14">
    <w:name w:val="annotation reference"/>
    <w:basedOn w:val="11"/>
    <w:semiHidden/>
    <w:qFormat/>
    <w:uiPriority w:val="99"/>
    <w:rPr>
      <w:rFonts w:cs="Times New Roman"/>
      <w:sz w:val="21"/>
      <w:szCs w:val="21"/>
    </w:rPr>
  </w:style>
  <w:style w:type="character" w:customStyle="1" w:styleId="15">
    <w:name w:val="标题 1 Char"/>
    <w:basedOn w:val="11"/>
    <w:link w:val="2"/>
    <w:qFormat/>
    <w:locked/>
    <w:uiPriority w:val="99"/>
    <w:rPr>
      <w:rFonts w:ascii="Calibri" w:hAnsi="Calibri" w:eastAsia="宋体" w:cs="Times New Roman"/>
      <w:b/>
      <w:kern w:val="44"/>
      <w:sz w:val="22"/>
      <w:szCs w:val="22"/>
      <w:lang w:val="en-US" w:eastAsia="zh-CN" w:bidi="ar-SA"/>
    </w:rPr>
  </w:style>
  <w:style w:type="character" w:customStyle="1" w:styleId="16">
    <w:name w:val="批注文字 Char"/>
    <w:basedOn w:val="11"/>
    <w:link w:val="3"/>
    <w:semiHidden/>
    <w:qFormat/>
    <w:locked/>
    <w:uiPriority w:val="99"/>
    <w:rPr>
      <w:rFonts w:cs="Times New Roman"/>
    </w:rPr>
  </w:style>
  <w:style w:type="character" w:customStyle="1" w:styleId="17">
    <w:name w:val="批注框文本 Char"/>
    <w:basedOn w:val="11"/>
    <w:link w:val="4"/>
    <w:semiHidden/>
    <w:qFormat/>
    <w:locked/>
    <w:uiPriority w:val="99"/>
    <w:rPr>
      <w:rFonts w:cs="Times New Roman"/>
      <w:sz w:val="2"/>
    </w:rPr>
  </w:style>
  <w:style w:type="character" w:customStyle="1" w:styleId="18">
    <w:name w:val="页脚 Char"/>
    <w:basedOn w:val="11"/>
    <w:link w:val="5"/>
    <w:qFormat/>
    <w:locked/>
    <w:uiPriority w:val="99"/>
    <w:rPr>
      <w:rFonts w:cs="Times New Roman"/>
      <w:sz w:val="18"/>
      <w:szCs w:val="18"/>
    </w:rPr>
  </w:style>
  <w:style w:type="character" w:customStyle="1" w:styleId="19">
    <w:name w:val="页眉 Char"/>
    <w:basedOn w:val="11"/>
    <w:link w:val="6"/>
    <w:semiHidden/>
    <w:qFormat/>
    <w:locked/>
    <w:uiPriority w:val="99"/>
    <w:rPr>
      <w:rFonts w:cs="Times New Roman"/>
      <w:sz w:val="18"/>
      <w:szCs w:val="18"/>
    </w:rPr>
  </w:style>
  <w:style w:type="paragraph" w:customStyle="1" w:styleId="20">
    <w:name w:val="WPSOffice手动目录 1"/>
    <w:qFormat/>
    <w:uiPriority w:val="99"/>
    <w:rPr>
      <w:rFonts w:ascii="Times New Roman" w:hAnsi="Times New Roman" w:eastAsia="宋体" w:cs="Times New Roman"/>
      <w:lang w:val="en-US" w:eastAsia="zh-CN" w:bidi="ar-SA"/>
    </w:rPr>
  </w:style>
  <w:style w:type="paragraph" w:customStyle="1" w:styleId="21">
    <w:name w:val="WPSOffice手动目录 2"/>
    <w:qFormat/>
    <w:uiPriority w:val="99"/>
    <w:pPr>
      <w:ind w:left="200" w:leftChars="200"/>
    </w:pPr>
    <w:rPr>
      <w:rFonts w:ascii="Times New Roman" w:hAnsi="Times New Roman" w:eastAsia="宋体" w:cs="Times New Roman"/>
      <w:lang w:val="en-US" w:eastAsia="zh-CN" w:bidi="ar-SA"/>
    </w:rPr>
  </w:style>
  <w:style w:type="paragraph" w:customStyle="1" w:styleId="22">
    <w:name w:val="列出段落1"/>
    <w:basedOn w:val="1"/>
    <w:qFormat/>
    <w:uiPriority w:val="99"/>
    <w:pPr>
      <w:ind w:firstLine="420" w:firstLineChars="200"/>
    </w:pPr>
  </w:style>
  <w:style w:type="character" w:customStyle="1" w:styleId="23">
    <w:name w:val="fontstyle01"/>
    <w:basedOn w:val="11"/>
    <w:qFormat/>
    <w:uiPriority w:val="0"/>
    <w:rPr>
      <w:rFonts w:ascii="楷体" w:hAnsi="楷体" w:eastAsia="楷体" w:cs="楷体"/>
      <w:color w:val="000000"/>
      <w:sz w:val="32"/>
      <w:szCs w:val="32"/>
    </w:rPr>
  </w:style>
  <w:style w:type="character" w:customStyle="1" w:styleId="24">
    <w:name w:val="fontstyle11"/>
    <w:basedOn w:val="11"/>
    <w:qFormat/>
    <w:uiPriority w:val="0"/>
    <w:rPr>
      <w:rFonts w:ascii="仿宋_GB2312" w:eastAsia="仿宋_GB2312" w:cs="仿宋_GB2312"/>
      <w:color w:val="000000"/>
      <w:sz w:val="32"/>
      <w:szCs w:val="32"/>
    </w:rPr>
  </w:style>
  <w:style w:type="character" w:customStyle="1" w:styleId="25">
    <w:name w:val="fontstyle21"/>
    <w:basedOn w:val="11"/>
    <w:qFormat/>
    <w:uiPriority w:val="0"/>
    <w:rPr>
      <w:rFonts w:ascii="Calibri" w:hAnsi="Calibri" w:cs="Calibri"/>
      <w:color w:val="00000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1775</Words>
  <Characters>10119</Characters>
  <Lines>84</Lines>
  <Paragraphs>23</Paragraphs>
  <TotalTime>55</TotalTime>
  <ScaleCrop>false</ScaleCrop>
  <LinksUpToDate>false</LinksUpToDate>
  <CharactersWithSpaces>11871</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2021-04-28T01:40:00Z</dcterms:created>
  <dc:creator>dell</dc:creator>
  <cp:lastModifiedBy>Administrator</cp:lastModifiedBy>
  <cp:lastPrinted>2024-04-10T09:59:00Z</cp:lastPrinted>
  <dcterms:modified xsi:type="dcterms:W3CDTF">2024-04-11T07:41:20Z</dcterms:modified>
  <dc:title>附件1：厦门市同安区所属卫生事业单位</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BBB33F58C3C24EACA45BE9106E0C57BD</vt:lpwstr>
  </property>
</Properties>
</file>