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napToGrid w:val="0"/>
        <w:spacing w:line="560" w:lineRule="exact"/>
        <w:rPr>
          <w:rFonts w:asci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shd w:val="clea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rPr>
        <w:t>厦门市翔安区所属卫生事业单位公开招聘</w:t>
      </w:r>
    </w:p>
    <w:p>
      <w:pPr>
        <w:shd w:val="clea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rPr>
        <w:t>工作人员报考须知（</w:t>
      </w:r>
      <w:r>
        <w:rPr>
          <w:rFonts w:ascii="宋体" w:hAnsi="宋体" w:cs="宋体"/>
          <w:b/>
          <w:w w:val="85"/>
          <w:kern w:val="0"/>
          <w:sz w:val="44"/>
          <w:szCs w:val="44"/>
        </w:rPr>
        <w:t>202</w:t>
      </w:r>
      <w:r>
        <w:rPr>
          <w:rFonts w:hint="eastAsia" w:ascii="宋体" w:hAnsi="宋体" w:cs="宋体"/>
          <w:b/>
          <w:w w:val="85"/>
          <w:kern w:val="0"/>
          <w:sz w:val="44"/>
          <w:szCs w:val="44"/>
        </w:rPr>
        <w:t>4年4月）</w:t>
      </w:r>
      <w:bookmarkEnd w:id="0"/>
    </w:p>
    <w:p>
      <w:pPr>
        <w:shd w:val="clea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rPr>
        <w:t>目录</w:t>
      </w:r>
    </w:p>
    <w:p>
      <w:pPr>
        <w:shd w:val="clear"/>
        <w:adjustRightInd w:val="0"/>
        <w:snapToGrid w:val="0"/>
        <w:spacing w:line="560" w:lineRule="exact"/>
        <w:jc w:val="center"/>
        <w:rPr>
          <w:sz w:val="24"/>
          <w:szCs w:val="24"/>
        </w:rPr>
      </w:pPr>
    </w:p>
    <w:p>
      <w:pPr>
        <w:pStyle w:val="7"/>
        <w:shd w:val="clear"/>
        <w:tabs>
          <w:tab w:val="right" w:leader="dot" w:pos="8834"/>
        </w:tabs>
        <w:snapToGrid w:val="0"/>
        <w:spacing w:line="560" w:lineRule="exact"/>
      </w:pPr>
      <w:r>
        <w:rPr>
          <w:rFonts w:ascii="仿宋" w:hAnsi="仿宋" w:eastAsia="仿宋" w:cs="仿宋"/>
          <w:sz w:val="24"/>
          <w:szCs w:val="24"/>
        </w:rPr>
        <w:fldChar w:fldCharType="begin"/>
      </w:r>
      <w:r>
        <w:rPr>
          <w:rFonts w:ascii="仿宋" w:hAnsi="仿宋" w:eastAsia="仿宋" w:cs="仿宋"/>
          <w:sz w:val="24"/>
          <w:szCs w:val="24"/>
        </w:rPr>
        <w:instrText xml:space="preserve">TOC \o "1-3" \h \u </w:instrText>
      </w:r>
      <w:r>
        <w:rPr>
          <w:rFonts w:ascii="仿宋" w:hAnsi="仿宋" w:eastAsia="仿宋" w:cs="仿宋"/>
          <w:sz w:val="24"/>
          <w:szCs w:val="24"/>
        </w:rPr>
        <w:fldChar w:fldCharType="separate"/>
      </w:r>
      <w:r>
        <w:fldChar w:fldCharType="begin"/>
      </w:r>
      <w:r>
        <w:instrText xml:space="preserve"> HYPERLINK \l "_Toc70495066" </w:instrText>
      </w:r>
      <w:r>
        <w:fldChar w:fldCharType="separate"/>
      </w:r>
      <w:r>
        <w:rPr>
          <w:rStyle w:val="13"/>
          <w:rFonts w:hint="eastAsia" w:ascii="黑体" w:hAnsi="黑体" w:eastAsia="黑体"/>
          <w:color w:val="auto"/>
          <w:sz w:val="24"/>
          <w:szCs w:val="24"/>
        </w:rPr>
        <w:t>一、基本条件</w:t>
      </w:r>
      <w:r>
        <w:rPr>
          <w:rStyle w:val="13"/>
          <w:rFonts w:hint="eastAsia" w:ascii="黑体" w:hAnsi="黑体" w:eastAsia="黑体"/>
          <w:color w:val="auto"/>
          <w:sz w:val="24"/>
          <w:szCs w:val="24"/>
        </w:rPr>
        <w:tab/>
      </w:r>
      <w:r>
        <w:rPr>
          <w:rStyle w:val="13"/>
          <w:rFonts w:hint="eastAsia" w:ascii="黑体" w:hAnsi="黑体" w:eastAsia="黑体"/>
          <w:color w:val="auto"/>
          <w:sz w:val="24"/>
          <w:szCs w:val="24"/>
        </w:rPr>
        <w:fldChar w:fldCharType="begin"/>
      </w:r>
      <w:r>
        <w:rPr>
          <w:rStyle w:val="13"/>
          <w:rFonts w:hint="eastAsia" w:ascii="黑体" w:hAnsi="黑体" w:eastAsia="黑体"/>
          <w:color w:val="auto"/>
          <w:sz w:val="24"/>
          <w:szCs w:val="24"/>
        </w:rPr>
        <w:instrText xml:space="preserve"> PAGEREF _Toc70495066 \h </w:instrText>
      </w:r>
      <w:r>
        <w:rPr>
          <w:rStyle w:val="13"/>
          <w:rFonts w:hint="eastAsia" w:ascii="黑体" w:hAnsi="黑体" w:eastAsia="黑体"/>
          <w:color w:val="auto"/>
          <w:sz w:val="24"/>
          <w:szCs w:val="24"/>
        </w:rPr>
        <w:fldChar w:fldCharType="separate"/>
      </w:r>
      <w:r>
        <w:rPr>
          <w:rStyle w:val="13"/>
          <w:rFonts w:ascii="黑体" w:hAnsi="黑体" w:eastAsia="黑体"/>
          <w:color w:val="auto"/>
          <w:sz w:val="24"/>
          <w:szCs w:val="24"/>
        </w:rPr>
        <w:t>1</w:t>
      </w:r>
      <w:r>
        <w:rPr>
          <w:rStyle w:val="13"/>
          <w:rFonts w:hint="eastAsia" w:ascii="黑体" w:hAnsi="黑体" w:eastAsia="黑体"/>
          <w:color w:val="auto"/>
          <w:sz w:val="24"/>
          <w:szCs w:val="24"/>
        </w:rPr>
        <w:fldChar w:fldCharType="end"/>
      </w:r>
      <w:r>
        <w:rPr>
          <w:rStyle w:val="13"/>
          <w:rFonts w:hint="eastAsia" w:ascii="黑体" w:hAnsi="黑体" w:eastAsia="黑体"/>
          <w:color w:val="auto"/>
          <w:sz w:val="24"/>
          <w:szCs w:val="24"/>
        </w:rPr>
        <w:fldChar w:fldCharType="end"/>
      </w:r>
    </w:p>
    <w:p>
      <w:pPr>
        <w:pStyle w:val="7"/>
        <w:shd w:val="clear"/>
        <w:tabs>
          <w:tab w:val="right" w:leader="dot" w:pos="8834"/>
        </w:tabs>
        <w:snapToGrid w:val="0"/>
        <w:spacing w:line="560" w:lineRule="exact"/>
      </w:pPr>
      <w:r>
        <w:fldChar w:fldCharType="begin"/>
      </w:r>
      <w:r>
        <w:instrText xml:space="preserve"> HYPERLINK \l "_Toc70495067" </w:instrText>
      </w:r>
      <w:r>
        <w:fldChar w:fldCharType="separate"/>
      </w:r>
      <w:r>
        <w:rPr>
          <w:rStyle w:val="13"/>
          <w:rFonts w:hint="eastAsia" w:ascii="黑体" w:hAnsi="黑体" w:eastAsia="黑体"/>
          <w:color w:val="auto"/>
          <w:sz w:val="24"/>
          <w:szCs w:val="24"/>
        </w:rPr>
        <w:t>二、不得报考或取消报考（聘用）资格的情形</w:t>
      </w:r>
      <w:r>
        <w:tab/>
      </w:r>
      <w:r>
        <w:fldChar w:fldCharType="begin"/>
      </w:r>
      <w:r>
        <w:instrText xml:space="preserve"> PAGEREF _Toc70495067 \h </w:instrText>
      </w:r>
      <w:r>
        <w:fldChar w:fldCharType="separate"/>
      </w:r>
      <w:r>
        <w:t>1</w:t>
      </w:r>
      <w:r>
        <w:fldChar w:fldCharType="end"/>
      </w:r>
      <w:r>
        <w:fldChar w:fldCharType="end"/>
      </w:r>
    </w:p>
    <w:p>
      <w:pPr>
        <w:pStyle w:val="7"/>
        <w:shd w:val="clear"/>
        <w:tabs>
          <w:tab w:val="right" w:leader="dot" w:pos="8834"/>
        </w:tabs>
        <w:snapToGrid w:val="0"/>
        <w:spacing w:line="560" w:lineRule="exact"/>
      </w:pPr>
      <w:r>
        <w:fldChar w:fldCharType="begin"/>
      </w:r>
      <w:r>
        <w:instrText xml:space="preserve"> HYPERLINK \l "_Toc70495068" </w:instrText>
      </w:r>
      <w:r>
        <w:fldChar w:fldCharType="separate"/>
      </w:r>
      <w:r>
        <w:rPr>
          <w:rStyle w:val="13"/>
          <w:rFonts w:hint="eastAsia" w:ascii="黑体" w:hAnsi="黑体" w:eastAsia="黑体"/>
          <w:color w:val="auto"/>
          <w:sz w:val="24"/>
          <w:szCs w:val="24"/>
        </w:rPr>
        <w:t>三、选报岗位须知</w:t>
      </w:r>
      <w:r>
        <w:tab/>
      </w:r>
      <w:r>
        <w:fldChar w:fldCharType="begin"/>
      </w:r>
      <w:r>
        <w:instrText xml:space="preserve"> PAGEREF _Toc70495068 \h </w:instrText>
      </w:r>
      <w:r>
        <w:fldChar w:fldCharType="separate"/>
      </w:r>
      <w:r>
        <w:t>1</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"_Toc70495069" </w:instrText>
      </w:r>
      <w:r>
        <w:fldChar w:fldCharType="separate"/>
      </w:r>
      <w:r>
        <w:rPr>
          <w:rStyle w:val="13"/>
          <w:rFonts w:hint="eastAsia" w:ascii="楷体" w:hAnsi="楷体" w:eastAsia="楷体"/>
          <w:color w:val="auto"/>
          <w:sz w:val="24"/>
          <w:szCs w:val="24"/>
        </w:rPr>
        <w:t>（一）报考资格条件确认</w:t>
      </w:r>
      <w:r>
        <w:tab/>
      </w:r>
      <w:r>
        <w:fldChar w:fldCharType="begin"/>
      </w:r>
      <w:r>
        <w:instrText xml:space="preserve"> PAGEREF _Toc70495069 \h </w:instrText>
      </w:r>
      <w:r>
        <w:fldChar w:fldCharType="separate"/>
      </w:r>
      <w:r>
        <w:t>2</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"_Toc70495070" </w:instrText>
      </w:r>
      <w:r>
        <w:fldChar w:fldCharType="separate"/>
      </w:r>
      <w:r>
        <w:rPr>
          <w:rStyle w:val="13"/>
          <w:rFonts w:hint="eastAsia" w:ascii="楷体" w:hAnsi="楷体" w:eastAsia="楷体"/>
          <w:color w:val="auto"/>
          <w:sz w:val="24"/>
          <w:szCs w:val="24"/>
        </w:rPr>
        <w:t>（二）照片要求</w:t>
      </w:r>
      <w:r>
        <w:tab/>
      </w:r>
      <w:r>
        <w:fldChar w:fldCharType="begin"/>
      </w:r>
      <w:r>
        <w:instrText xml:space="preserve"> PAGEREF _Toc70495070 \h </w:instrText>
      </w:r>
      <w:r>
        <w:fldChar w:fldCharType="separate"/>
      </w:r>
      <w:r>
        <w:t>2</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"_Toc70495072" </w:instrText>
      </w:r>
      <w:r>
        <w:fldChar w:fldCharType="separate"/>
      </w:r>
      <w:r>
        <w:rPr>
          <w:rStyle w:val="13"/>
          <w:rFonts w:hint="eastAsia" w:ascii="楷体" w:hAnsi="楷体" w:eastAsia="楷体"/>
          <w:color w:val="auto"/>
          <w:sz w:val="24"/>
          <w:szCs w:val="24"/>
        </w:rPr>
        <w:t>（三）回避情形</w:t>
      </w:r>
      <w:r>
        <w:tab/>
      </w:r>
      <w:r>
        <w:rPr>
          <w:rFonts w:hint="eastAsia"/>
        </w:rPr>
        <w:t>3</w:t>
      </w:r>
      <w:r>
        <w:rPr>
          <w:rFonts w:hint="eastAsia"/>
        </w:rPr>
        <w:fldChar w:fldCharType="end"/>
      </w:r>
    </w:p>
    <w:p>
      <w:pPr>
        <w:pStyle w:val="7"/>
        <w:shd w:val="clear"/>
        <w:tabs>
          <w:tab w:val="right" w:leader="dot" w:pos="8834"/>
        </w:tabs>
        <w:snapToGrid w:val="0"/>
        <w:spacing w:line="560" w:lineRule="exact"/>
      </w:pPr>
      <w:r>
        <w:fldChar w:fldCharType="begin"/>
      </w:r>
      <w:r>
        <w:instrText xml:space="preserve"> HYPERLINK \l "_Toc70495073" </w:instrText>
      </w:r>
      <w:r>
        <w:fldChar w:fldCharType="separate"/>
      </w:r>
      <w:r>
        <w:rPr>
          <w:rStyle w:val="13"/>
          <w:rFonts w:hint="eastAsia" w:ascii="黑体" w:hAnsi="黑体" w:eastAsia="黑体"/>
          <w:color w:val="auto"/>
          <w:sz w:val="24"/>
          <w:szCs w:val="24"/>
        </w:rPr>
        <w:t>四、年龄、资格（历）等的计算办法</w:t>
      </w:r>
      <w:r>
        <w:tab/>
      </w:r>
      <w:r>
        <w:rPr>
          <w:rFonts w:hint="eastAsia"/>
        </w:rPr>
        <w:t>4</w:t>
      </w:r>
      <w:r>
        <w:rPr>
          <w:rFonts w:hint="eastAsia"/>
        </w:rPr>
        <w:fldChar w:fldCharType="end"/>
      </w:r>
    </w:p>
    <w:p>
      <w:pPr>
        <w:pStyle w:val="8"/>
        <w:shd w:val="clear"/>
        <w:tabs>
          <w:tab w:val="right" w:leader="dot" w:pos="8834"/>
        </w:tabs>
        <w:snapToGrid w:val="0"/>
        <w:spacing w:line="560" w:lineRule="exact"/>
        <w:ind w:left="0" w:leftChars="0" w:firstLine="420" w:firstLineChars="200"/>
        <w:rPr>
          <w:rStyle w:val="13"/>
          <w:rFonts w:ascii="楷体" w:hAnsi="楷体" w:eastAsia="楷体"/>
          <w:color w:val="auto"/>
          <w:szCs w:val="21"/>
        </w:rPr>
      </w:pPr>
      <w:r>
        <w:fldChar w:fldCharType="begin"/>
      </w:r>
      <w:r>
        <w:instrText xml:space="preserve"> HYPERLINK \l "_Toc22003" </w:instrText>
      </w:r>
      <w:r>
        <w:fldChar w:fldCharType="separate"/>
      </w:r>
      <w:r>
        <w:rPr>
          <w:rStyle w:val="13"/>
          <w:rFonts w:hint="eastAsia" w:ascii="楷体" w:hAnsi="楷体" w:eastAsia="楷体"/>
          <w:color w:val="auto"/>
          <w:sz w:val="24"/>
          <w:szCs w:val="24"/>
        </w:rPr>
        <w:t>（一）年龄</w:t>
      </w:r>
      <w:r>
        <w:rPr>
          <w:rStyle w:val="13"/>
          <w:rFonts w:hint="eastAsia" w:ascii="楷体" w:hAnsi="楷体" w:eastAsia="楷体"/>
          <w:color w:val="auto"/>
          <w:szCs w:val="21"/>
        </w:rPr>
        <w:tab/>
      </w:r>
      <w:r>
        <w:rPr>
          <w:rStyle w:val="13"/>
          <w:rFonts w:hint="eastAsia" w:hAnsi="楷体" w:eastAsia="楷体" w:asciiTheme="minorHAnsi"/>
          <w:color w:val="auto"/>
          <w:szCs w:val="21"/>
          <w:lang w:val="en-US" w:eastAsia="zh-CN"/>
        </w:rPr>
        <w:t>4</w:t>
      </w:r>
      <w:r>
        <w:rPr>
          <w:rStyle w:val="13"/>
          <w:rFonts w:hint="eastAsia" w:hAnsi="楷体" w:eastAsia="楷体" w:asciiTheme="minorHAnsi"/>
          <w:color w:val="auto"/>
          <w:szCs w:val="21"/>
        </w:rPr>
        <w:fldChar w:fldCharType="end"/>
      </w:r>
    </w:p>
    <w:p>
      <w:pPr>
        <w:pStyle w:val="8"/>
        <w:shd w:val="clear"/>
        <w:tabs>
          <w:tab w:val="right" w:leader="dot" w:pos="8834"/>
        </w:tabs>
        <w:snapToGrid w:val="0"/>
        <w:spacing w:line="560" w:lineRule="exact"/>
        <w:ind w:left="0" w:leftChars="0" w:firstLine="420" w:firstLineChars="200"/>
        <w:rPr>
          <w:sz w:val="24"/>
          <w:szCs w:val="24"/>
        </w:rPr>
      </w:pPr>
      <w:r>
        <w:fldChar w:fldCharType="begin"/>
      </w:r>
      <w:r>
        <w:instrText xml:space="preserve"> HYPERLINK \l "_Toc28438" </w:instrText>
      </w:r>
      <w:r>
        <w:fldChar w:fldCharType="separate"/>
      </w:r>
      <w:r>
        <w:rPr>
          <w:rStyle w:val="13"/>
          <w:rFonts w:hint="eastAsia" w:ascii="楷体" w:hAnsi="楷体" w:eastAsia="楷体"/>
          <w:color w:val="auto"/>
          <w:sz w:val="24"/>
          <w:szCs w:val="24"/>
        </w:rPr>
        <w:t>（二）资格（历）等</w:t>
      </w:r>
      <w:r>
        <w:rPr>
          <w:rStyle w:val="13"/>
          <w:rFonts w:hint="eastAsia" w:ascii="楷体" w:hAnsi="楷体" w:eastAsia="楷体"/>
          <w:color w:val="auto"/>
          <w:szCs w:val="21"/>
        </w:rPr>
        <w:tab/>
      </w:r>
      <w:r>
        <w:rPr>
          <w:rStyle w:val="13"/>
          <w:rFonts w:hint="eastAsia" w:hAnsi="楷体" w:eastAsia="楷体" w:asciiTheme="minorHAnsi"/>
          <w:color w:val="auto"/>
          <w:szCs w:val="21"/>
        </w:rPr>
        <w:t>5</w:t>
      </w:r>
      <w:r>
        <w:rPr>
          <w:rStyle w:val="13"/>
          <w:rFonts w:hint="eastAsia" w:hAnsi="楷体" w:eastAsia="楷体" w:asciiTheme="minorHAnsi"/>
          <w:color w:val="auto"/>
          <w:szCs w:val="21"/>
        </w:rPr>
        <w:fldChar w:fldCharType="end"/>
      </w:r>
    </w:p>
    <w:p>
      <w:pPr>
        <w:pStyle w:val="7"/>
        <w:shd w:val="clear"/>
        <w:tabs>
          <w:tab w:val="right" w:leader="dot" w:pos="8834"/>
        </w:tabs>
        <w:snapToGrid w:val="0"/>
        <w:spacing w:line="560" w:lineRule="exact"/>
      </w:pPr>
      <w:r>
        <w:fldChar w:fldCharType="begin"/>
      </w:r>
      <w:r>
        <w:instrText xml:space="preserve"> HYPERLINK \l "_Toc70495074" </w:instrText>
      </w:r>
      <w:r>
        <w:fldChar w:fldCharType="separate"/>
      </w:r>
      <w:r>
        <w:rPr>
          <w:rStyle w:val="13"/>
          <w:rFonts w:hint="eastAsia" w:ascii="黑体" w:hAnsi="黑体" w:eastAsia="黑体"/>
          <w:color w:val="auto"/>
          <w:sz w:val="24"/>
          <w:szCs w:val="24"/>
        </w:rPr>
        <w:t>五、学历（位）认定</w:t>
      </w:r>
      <w:r>
        <w:tab/>
      </w:r>
      <w:r>
        <w:rPr>
          <w:rFonts w:hint="eastAsia"/>
        </w:rPr>
        <w:t>5</w:t>
      </w:r>
      <w:r>
        <w:rPr>
          <w:rFonts w:hint="eastAsia"/>
        </w:rP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"_Toc70495076" </w:instrText>
      </w:r>
      <w:r>
        <w:fldChar w:fldCharType="separate"/>
      </w:r>
      <w:r>
        <w:rPr>
          <w:rStyle w:val="13"/>
          <w:rFonts w:hint="eastAsia" w:ascii="楷体" w:hAnsi="楷体" w:eastAsia="楷体"/>
          <w:color w:val="auto"/>
          <w:sz w:val="24"/>
          <w:szCs w:val="24"/>
        </w:rPr>
        <w:t>（一）境内学历（位）</w:t>
      </w:r>
      <w:r>
        <w:tab/>
      </w:r>
      <w:r>
        <w:rPr>
          <w:rFonts w:hint="eastAsia"/>
        </w:rPr>
        <w:t>5</w:t>
      </w:r>
      <w:r>
        <w:rPr>
          <w:rFonts w:hint="eastAsia"/>
        </w:rPr>
        <w:fldChar w:fldCharType="end"/>
      </w:r>
    </w:p>
    <w:p>
      <w:pPr>
        <w:pStyle w:val="8"/>
        <w:shd w:val="clear"/>
        <w:tabs>
          <w:tab w:val="right" w:leader="dot" w:pos="8834"/>
        </w:tabs>
        <w:snapToGrid w:val="0"/>
        <w:spacing w:line="560" w:lineRule="exact"/>
        <w:ind w:left="0" w:leftChars="0" w:firstLine="420" w:firstLineChars="200"/>
        <w:rPr>
          <w:rStyle w:val="13"/>
          <w:rFonts w:ascii="楷体" w:hAnsi="楷体"/>
          <w:color w:val="auto"/>
          <w:sz w:val="24"/>
          <w:szCs w:val="24"/>
        </w:rPr>
      </w:pPr>
      <w:r>
        <w:fldChar w:fldCharType="begin"/>
      </w:r>
      <w:r>
        <w:instrText xml:space="preserve"> HYPERLINK \l "_Toc70495077"</w:instrText>
      </w:r>
      <w:r>
        <w:fldChar w:fldCharType="separate"/>
      </w:r>
      <w:r>
        <w:rPr>
          <w:rStyle w:val="13"/>
          <w:rFonts w:hint="eastAsia" w:ascii="楷体" w:hAnsi="楷体" w:eastAsia="楷体"/>
          <w:color w:val="auto"/>
          <w:sz w:val="24"/>
          <w:szCs w:val="24"/>
        </w:rPr>
        <w:t>（二）第二学士学位</w:t>
      </w:r>
      <w:r>
        <w:tab/>
      </w:r>
      <w:r>
        <w:rPr>
          <w:rFonts w:hint="eastAsia"/>
        </w:rPr>
        <w:t>5</w:t>
      </w:r>
    </w:p>
    <w:p>
      <w:pPr>
        <w:pStyle w:val="8"/>
        <w:shd w:val="clear"/>
        <w:tabs>
          <w:tab w:val="right" w:leader="dot" w:pos="8834"/>
        </w:tabs>
        <w:snapToGrid w:val="0"/>
        <w:spacing w:line="560" w:lineRule="exact"/>
        <w:ind w:left="0" w:leftChars="0" w:firstLine="480" w:firstLineChars="200"/>
      </w:pPr>
      <w:r>
        <w:rPr>
          <w:rStyle w:val="13"/>
          <w:rFonts w:hint="eastAsia" w:ascii="楷体" w:hAnsi="楷体" w:eastAsia="楷体"/>
          <w:color w:val="auto"/>
          <w:sz w:val="24"/>
          <w:szCs w:val="24"/>
        </w:rPr>
        <w:t>（三）境外学历（位）</w:t>
      </w:r>
      <w:r>
        <w:tab/>
      </w:r>
      <w:r>
        <w:rPr>
          <w:rFonts w:hint="eastAsia"/>
        </w:rPr>
        <w:t>5</w:t>
      </w:r>
      <w:r>
        <w:fldChar w:fldCharType="end"/>
      </w:r>
    </w:p>
    <w:p>
      <w:pPr>
        <w:pStyle w:val="7"/>
        <w:shd w:val="clear"/>
        <w:tabs>
          <w:tab w:val="right" w:leader="dot" w:pos="8834"/>
        </w:tabs>
        <w:snapToGrid w:val="0"/>
        <w:spacing w:line="560" w:lineRule="exact"/>
        <w:ind w:firstLine="420" w:firstLineChars="200"/>
      </w:pPr>
      <w:r>
        <w:fldChar w:fldCharType="begin"/>
      </w:r>
      <w:r>
        <w:instrText xml:space="preserve"> HYPERLINK \l "_Toc70495078" </w:instrText>
      </w:r>
      <w:r>
        <w:fldChar w:fldCharType="separate"/>
      </w:r>
      <w:r>
        <w:rPr>
          <w:rStyle w:val="13"/>
          <w:rFonts w:hint="eastAsia" w:ascii="楷体" w:hAnsi="楷体" w:eastAsia="楷体"/>
          <w:color w:val="auto"/>
          <w:sz w:val="24"/>
          <w:szCs w:val="24"/>
        </w:rPr>
        <w:t>（四）我省“双学位”“双专业”学历</w:t>
      </w:r>
      <w:r>
        <w:tab/>
      </w:r>
      <w:r>
        <w:rPr>
          <w:rFonts w:hint="eastAsia"/>
        </w:rPr>
        <w:t>6</w:t>
      </w:r>
      <w:r>
        <w:rPr>
          <w:rFonts w:hint="eastAsia"/>
        </w:rPr>
        <w:fldChar w:fldCharType="end"/>
      </w:r>
    </w:p>
    <w:p>
      <w:pPr>
        <w:pStyle w:val="7"/>
        <w:shd w:val="clear"/>
        <w:tabs>
          <w:tab w:val="right" w:leader="dot" w:pos="8834"/>
        </w:tabs>
        <w:snapToGrid w:val="0"/>
        <w:spacing w:line="560" w:lineRule="exact"/>
        <w:ind w:firstLine="420" w:firstLineChars="200"/>
      </w:pPr>
      <w:r>
        <w:fldChar w:fldCharType="begin"/>
      </w:r>
      <w:r>
        <w:instrText xml:space="preserve"> HYPERLINK \l "_Toc70495078" </w:instrText>
      </w:r>
      <w:r>
        <w:fldChar w:fldCharType="separate"/>
      </w:r>
      <w:r>
        <w:rPr>
          <w:rStyle w:val="13"/>
          <w:rFonts w:hint="eastAsia" w:ascii="楷体" w:hAnsi="楷体" w:eastAsia="楷体"/>
          <w:color w:val="auto"/>
          <w:sz w:val="24"/>
          <w:szCs w:val="24"/>
        </w:rPr>
        <w:t>（五）提醒事项</w:t>
      </w:r>
      <w:r>
        <w:tab/>
      </w:r>
      <w:r>
        <w:rPr>
          <w:rFonts w:hint="eastAsia"/>
        </w:rPr>
        <w:t>6</w:t>
      </w:r>
      <w:r>
        <w:rPr>
          <w:rFonts w:hint="eastAsia"/>
        </w:rPr>
        <w:fldChar w:fldCharType="end"/>
      </w:r>
    </w:p>
    <w:p>
      <w:pPr>
        <w:pStyle w:val="7"/>
        <w:shd w:val="clear"/>
        <w:tabs>
          <w:tab w:val="right" w:leader="dot" w:pos="8834"/>
        </w:tabs>
        <w:snapToGrid w:val="0"/>
        <w:spacing w:line="560" w:lineRule="exact"/>
      </w:pPr>
      <w:r>
        <w:fldChar w:fldCharType="begin"/>
      </w:r>
      <w:r>
        <w:instrText xml:space="preserve"> HYPERLINK \l "_Toc70495075" </w:instrText>
      </w:r>
      <w:r>
        <w:fldChar w:fldCharType="separate"/>
      </w:r>
      <w:r>
        <w:rPr>
          <w:rStyle w:val="13"/>
          <w:rFonts w:hint="eastAsia" w:ascii="黑体" w:hAnsi="黑体" w:eastAsia="黑体"/>
          <w:color w:val="auto"/>
          <w:sz w:val="24"/>
          <w:szCs w:val="24"/>
        </w:rPr>
        <w:t>六、专业</w:t>
      </w:r>
      <w:r>
        <w:tab/>
      </w:r>
      <w:r>
        <w:rPr>
          <w:rFonts w:hint="eastAsia"/>
        </w:rPr>
        <w:t>6</w:t>
      </w:r>
      <w:r>
        <w:rPr>
          <w:rFonts w:hint="eastAsia"/>
        </w:rP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"_Toc70495076" </w:instrText>
      </w:r>
      <w:r>
        <w:fldChar w:fldCharType="separate"/>
      </w:r>
      <w:r>
        <w:rPr>
          <w:rStyle w:val="13"/>
          <w:rFonts w:hint="eastAsia" w:ascii="楷体" w:hAnsi="楷体" w:eastAsia="楷体"/>
          <w:color w:val="auto"/>
          <w:sz w:val="24"/>
          <w:szCs w:val="24"/>
        </w:rPr>
        <w:t>（一）填报专业名称</w:t>
      </w:r>
      <w:r>
        <w:tab/>
      </w:r>
      <w:r>
        <w:rPr>
          <w:rFonts w:hint="eastAsia"/>
          <w:lang w:val="en-US" w:eastAsia="zh-CN"/>
        </w:rPr>
        <w:t>6</w:t>
      </w:r>
      <w:r>
        <w:rPr>
          <w:rFonts w:hint="eastAsia"/>
        </w:rPr>
        <w:t xml:space="preserve">  </w:t>
      </w:r>
      <w:r>
        <w:rPr>
          <w:rFonts w:hint="eastAsia"/>
        </w:rP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"_Toc70495077" </w:instrText>
      </w:r>
      <w:r>
        <w:fldChar w:fldCharType="separate"/>
      </w:r>
      <w:r>
        <w:rPr>
          <w:rStyle w:val="13"/>
          <w:rFonts w:hint="eastAsia" w:ascii="楷体" w:hAnsi="楷体" w:eastAsia="楷体"/>
          <w:color w:val="auto"/>
          <w:sz w:val="24"/>
          <w:szCs w:val="24"/>
        </w:rPr>
        <w:t>（二）专业与学历（位）的对应关系</w:t>
      </w:r>
      <w:r>
        <w:tab/>
      </w:r>
      <w:r>
        <w:rPr>
          <w:rFonts w:hint="eastAsia"/>
        </w:rPr>
        <w:t>7</w:t>
      </w:r>
      <w:r>
        <w:rPr>
          <w:rFonts w:hint="eastAsia"/>
        </w:rP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"_Toc70495078" </w:instrText>
      </w:r>
      <w:r>
        <w:fldChar w:fldCharType="separate"/>
      </w:r>
      <w:r>
        <w:rPr>
          <w:rStyle w:val="13"/>
          <w:rFonts w:hint="eastAsia" w:ascii="楷体" w:hAnsi="楷体" w:eastAsia="楷体"/>
          <w:color w:val="auto"/>
          <w:sz w:val="24"/>
          <w:szCs w:val="24"/>
        </w:rPr>
        <w:t>（三）专业资格的认定</w:t>
      </w:r>
      <w:r>
        <w:tab/>
      </w:r>
      <w:r>
        <w:rPr>
          <w:rFonts w:hint="eastAsia"/>
        </w:rPr>
        <w:t>8</w:t>
      </w:r>
      <w:r>
        <w:rPr>
          <w:rFonts w:hint="eastAsia"/>
        </w:rPr>
        <w:fldChar w:fldCharType="end"/>
      </w:r>
    </w:p>
    <w:p>
      <w:pPr>
        <w:pStyle w:val="7"/>
        <w:shd w:val="clear"/>
        <w:tabs>
          <w:tab w:val="right" w:leader="dot" w:pos="8834"/>
        </w:tabs>
        <w:snapToGrid w:val="0"/>
        <w:spacing w:line="560" w:lineRule="exact"/>
      </w:pPr>
      <w:r>
        <w:fldChar w:fldCharType="begin"/>
      </w:r>
      <w:r>
        <w:instrText xml:space="preserve"> HYPERLINK \l "_Toc70495079" </w:instrText>
      </w:r>
      <w:r>
        <w:fldChar w:fldCharType="separate"/>
      </w:r>
      <w:r>
        <w:rPr>
          <w:rStyle w:val="13"/>
          <w:rFonts w:hint="eastAsia" w:ascii="黑体" w:hAnsi="黑体" w:eastAsia="黑体"/>
          <w:color w:val="auto"/>
          <w:sz w:val="24"/>
          <w:szCs w:val="24"/>
        </w:rPr>
        <w:t>七、工作经验</w:t>
      </w:r>
      <w:r>
        <w:tab/>
      </w:r>
      <w:r>
        <w:rPr>
          <w:rFonts w:hint="eastAsia"/>
          <w:lang w:val="en-US" w:eastAsia="zh-CN"/>
        </w:rPr>
        <w:t>8</w:t>
      </w:r>
      <w:r>
        <w:fldChar w:fldCharType="end"/>
      </w:r>
    </w:p>
    <w:p>
      <w:pPr>
        <w:pStyle w:val="7"/>
        <w:shd w:val="clear"/>
        <w:tabs>
          <w:tab w:val="right" w:leader="dot" w:pos="8834"/>
        </w:tabs>
        <w:snapToGrid w:val="0"/>
        <w:spacing w:line="560" w:lineRule="exact"/>
      </w:pPr>
      <w:r>
        <w:fldChar w:fldCharType="begin"/>
      </w:r>
      <w:r>
        <w:instrText xml:space="preserve"> HYPERLINK \l "_Toc70495080" </w:instrText>
      </w:r>
      <w:r>
        <w:fldChar w:fldCharType="separate"/>
      </w:r>
      <w:r>
        <w:rPr>
          <w:rStyle w:val="13"/>
          <w:rFonts w:hint="eastAsia" w:ascii="黑体" w:hAnsi="黑体" w:eastAsia="黑体"/>
          <w:color w:val="auto"/>
          <w:sz w:val="24"/>
          <w:szCs w:val="24"/>
        </w:rPr>
        <w:t>八、可免笔试情形</w:t>
      </w:r>
      <w:r>
        <w:tab/>
      </w:r>
      <w:r>
        <w:rPr>
          <w:rFonts w:hint="eastAsia"/>
        </w:rPr>
        <w:t>9</w:t>
      </w:r>
      <w:r>
        <w:rPr>
          <w:rFonts w:hint="eastAsia"/>
        </w:rPr>
        <w:fldChar w:fldCharType="end"/>
      </w:r>
    </w:p>
    <w:p>
      <w:pPr>
        <w:pStyle w:val="7"/>
        <w:shd w:val="clear"/>
        <w:tabs>
          <w:tab w:val="right" w:leader="dot" w:pos="8834"/>
        </w:tabs>
        <w:snapToGrid w:val="0"/>
        <w:spacing w:line="560" w:lineRule="exact"/>
      </w:pPr>
      <w:r>
        <w:fldChar w:fldCharType="begin"/>
      </w:r>
      <w:r>
        <w:instrText xml:space="preserve"> HYPERLINK \l "_Toc70495080" </w:instrText>
      </w:r>
      <w:r>
        <w:fldChar w:fldCharType="separate"/>
      </w:r>
      <w:r>
        <w:rPr>
          <w:rStyle w:val="13"/>
          <w:rFonts w:hint="eastAsia" w:ascii="黑体" w:hAnsi="黑体" w:eastAsia="黑体"/>
          <w:color w:val="auto"/>
          <w:sz w:val="24"/>
          <w:szCs w:val="24"/>
        </w:rPr>
        <w:t>九、岗位开考比例</w:t>
      </w:r>
      <w:r>
        <w:tab/>
      </w:r>
      <w:r>
        <w:rPr>
          <w:rFonts w:hint="eastAsia"/>
          <w:lang w:val="en-US" w:eastAsia="zh-CN"/>
        </w:rPr>
        <w:t>9</w:t>
      </w:r>
      <w:r>
        <w:rPr>
          <w:rFonts w:hint="eastAsia"/>
        </w:rPr>
        <w:fldChar w:fldCharType="end"/>
      </w:r>
    </w:p>
    <w:p>
      <w:pPr>
        <w:pStyle w:val="7"/>
        <w:shd w:val="clear"/>
        <w:tabs>
          <w:tab w:val="right" w:leader="dot" w:pos="8834"/>
        </w:tabs>
        <w:snapToGrid w:val="0"/>
        <w:spacing w:line="560" w:lineRule="exact"/>
      </w:pPr>
      <w:r>
        <w:fldChar w:fldCharType="begin"/>
      </w:r>
      <w:r>
        <w:instrText xml:space="preserve"> HYPERLINK \l "_Toc70495084" </w:instrText>
      </w:r>
      <w:r>
        <w:fldChar w:fldCharType="separate"/>
      </w:r>
      <w:r>
        <w:rPr>
          <w:rStyle w:val="13"/>
          <w:rFonts w:hint="eastAsia" w:ascii="黑体" w:hAnsi="黑体" w:eastAsia="黑体"/>
          <w:color w:val="auto"/>
          <w:sz w:val="24"/>
          <w:szCs w:val="24"/>
        </w:rPr>
        <w:t>十、笔试加分</w:t>
      </w:r>
      <w:r>
        <w:tab/>
      </w:r>
      <w:r>
        <w:fldChar w:fldCharType="begin"/>
      </w:r>
      <w:r>
        <w:instrText xml:space="preserve"> PAGEREF _Toc70495084 \h </w:instrText>
      </w:r>
      <w:r>
        <w:fldChar w:fldCharType="separate"/>
      </w:r>
      <w:r>
        <w:t>10</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"_Toc70495085" </w:instrText>
      </w:r>
      <w:r>
        <w:fldChar w:fldCharType="separate"/>
      </w:r>
      <w:r>
        <w:rPr>
          <w:rStyle w:val="13"/>
          <w:rFonts w:hint="eastAsia" w:ascii="楷体" w:hAnsi="楷体" w:eastAsia="楷体"/>
          <w:color w:val="auto"/>
          <w:sz w:val="24"/>
          <w:szCs w:val="24"/>
        </w:rPr>
        <w:t>（一）加分原则</w:t>
      </w:r>
      <w:r>
        <w:tab/>
      </w:r>
      <w:r>
        <w:fldChar w:fldCharType="begin"/>
      </w:r>
      <w:r>
        <w:instrText xml:space="preserve"> PAGEREF _Toc70495085 \h </w:instrText>
      </w:r>
      <w:r>
        <w:fldChar w:fldCharType="separate"/>
      </w:r>
      <w:r>
        <w:t>10</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"_Toc70495086" </w:instrText>
      </w:r>
      <w:r>
        <w:fldChar w:fldCharType="separate"/>
      </w:r>
      <w:r>
        <w:rPr>
          <w:rStyle w:val="13"/>
          <w:rFonts w:hint="eastAsia" w:ascii="楷体" w:hAnsi="楷体" w:eastAsia="楷体"/>
          <w:color w:val="auto"/>
          <w:sz w:val="24"/>
          <w:szCs w:val="24"/>
        </w:rPr>
        <w:t>（二）加分对象</w:t>
      </w:r>
      <w:r>
        <w:tab/>
      </w:r>
      <w:r>
        <w:fldChar w:fldCharType="begin"/>
      </w:r>
      <w:r>
        <w:instrText xml:space="preserve"> PAGEREF _Toc70495086 \h </w:instrText>
      </w:r>
      <w:r>
        <w:fldChar w:fldCharType="separate"/>
      </w:r>
      <w:r>
        <w:t>10</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"_Toc70495087" </w:instrText>
      </w:r>
      <w:r>
        <w:fldChar w:fldCharType="separate"/>
      </w:r>
      <w:r>
        <w:rPr>
          <w:rStyle w:val="13"/>
          <w:rFonts w:ascii="楷体" w:hAnsi="楷体" w:eastAsia="楷体"/>
          <w:color w:val="auto"/>
          <w:sz w:val="24"/>
          <w:szCs w:val="24"/>
        </w:rPr>
        <w:t>1.</w:t>
      </w:r>
      <w:r>
        <w:rPr>
          <w:rStyle w:val="13"/>
          <w:rFonts w:hint="eastAsia" w:ascii="楷体" w:hAnsi="楷体" w:eastAsia="楷体"/>
          <w:color w:val="auto"/>
          <w:sz w:val="24"/>
          <w:szCs w:val="24"/>
        </w:rPr>
        <w:t>服务基层项目高校毕业人员</w:t>
      </w:r>
      <w:r>
        <w:tab/>
      </w:r>
      <w:r>
        <w:rPr>
          <w:rFonts w:hint="eastAsia"/>
        </w:rPr>
        <w:t>1</w:t>
      </w:r>
      <w:r>
        <w:rPr>
          <w:rFonts w:hint="eastAsia"/>
        </w:rPr>
        <w:fldChar w:fldCharType="end"/>
      </w:r>
      <w:r>
        <w:rPr>
          <w:rFonts w:hint="eastAsia"/>
        </w:rPr>
        <w:t>0</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"_Toc70495088" </w:instrText>
      </w:r>
      <w:r>
        <w:fldChar w:fldCharType="separate"/>
      </w:r>
      <w:r>
        <w:rPr>
          <w:rStyle w:val="13"/>
          <w:rFonts w:ascii="楷体" w:hAnsi="楷体" w:eastAsia="楷体"/>
          <w:color w:val="auto"/>
          <w:sz w:val="24"/>
          <w:szCs w:val="24"/>
        </w:rPr>
        <w:t>2.</w:t>
      </w:r>
      <w:r>
        <w:rPr>
          <w:rStyle w:val="13"/>
          <w:rFonts w:hint="eastAsia" w:ascii="楷体" w:hAnsi="楷体" w:eastAsia="楷体"/>
          <w:color w:val="auto"/>
          <w:sz w:val="24"/>
          <w:szCs w:val="24"/>
        </w:rPr>
        <w:t>退役士兵（含大学生退役士兵）</w:t>
      </w:r>
      <w:r>
        <w:tab/>
      </w:r>
      <w:r>
        <w:rPr>
          <w:rFonts w:hint="eastAsia"/>
        </w:rPr>
        <w:t>1</w:t>
      </w:r>
      <w:r>
        <w:rPr>
          <w:rFonts w:hint="eastAsia"/>
        </w:rPr>
        <w:fldChar w:fldCharType="end"/>
      </w:r>
      <w:r>
        <w:rPr>
          <w:rFonts w:hint="eastAsia"/>
        </w:rPr>
        <w:t>1</w:t>
      </w:r>
    </w:p>
    <w:p>
      <w:pPr>
        <w:pStyle w:val="8"/>
        <w:shd w:val="clear"/>
        <w:tabs>
          <w:tab w:val="right" w:leader="dot" w:pos="8834"/>
        </w:tabs>
        <w:snapToGrid w:val="0"/>
        <w:spacing w:line="560" w:lineRule="exact"/>
        <w:ind w:left="0" w:leftChars="0" w:firstLine="420" w:firstLineChars="200"/>
        <w:rPr>
          <w:rFonts w:hint="eastAsia" w:eastAsia="宋体"/>
          <w:lang w:eastAsia="zh-CN"/>
        </w:rPr>
      </w:pPr>
      <w:r>
        <w:fldChar w:fldCharType="begin"/>
      </w:r>
      <w:r>
        <w:instrText xml:space="preserve"> HYPERLINK \l "_Toc70495089" </w:instrText>
      </w:r>
      <w:r>
        <w:fldChar w:fldCharType="separate"/>
      </w:r>
      <w:r>
        <w:rPr>
          <w:rStyle w:val="13"/>
          <w:rFonts w:ascii="楷体" w:hAnsi="楷体" w:eastAsia="楷体"/>
          <w:color w:val="auto"/>
          <w:sz w:val="24"/>
          <w:szCs w:val="24"/>
        </w:rPr>
        <w:t>3.</w:t>
      </w:r>
      <w:r>
        <w:rPr>
          <w:rStyle w:val="13"/>
          <w:rFonts w:hint="eastAsia" w:ascii="楷体" w:hAnsi="楷体" w:eastAsia="楷体"/>
          <w:color w:val="auto"/>
          <w:sz w:val="24"/>
          <w:szCs w:val="24"/>
        </w:rPr>
        <w:t>退役优秀运动员</w:t>
      </w:r>
      <w:r>
        <w:tab/>
      </w:r>
      <w:r>
        <w:rPr>
          <w:rFonts w:hint="eastAsia"/>
        </w:rPr>
        <w:t>1</w:t>
      </w:r>
      <w:r>
        <w:rPr>
          <w:rFonts w:hint="eastAsia"/>
        </w:rPr>
        <w:fldChar w:fldCharType="end"/>
      </w:r>
      <w:r>
        <w:rPr>
          <w:rFonts w:hint="eastAsia"/>
          <w:lang w:val="en-US" w:eastAsia="zh-CN"/>
        </w:rPr>
        <w:t>1</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"_Toc70495090" </w:instrText>
      </w:r>
      <w:r>
        <w:fldChar w:fldCharType="separate"/>
      </w:r>
      <w:r>
        <w:rPr>
          <w:rStyle w:val="13"/>
          <w:rFonts w:hint="eastAsia" w:ascii="楷体" w:hAnsi="楷体" w:eastAsia="楷体"/>
          <w:color w:val="auto"/>
          <w:sz w:val="24"/>
          <w:szCs w:val="24"/>
        </w:rPr>
        <w:t>（三）加分证明材料</w:t>
      </w:r>
      <w:r>
        <w:tab/>
      </w:r>
      <w:r>
        <w:rPr>
          <w:rFonts w:hint="eastAsia"/>
        </w:rPr>
        <w:t>1</w:t>
      </w:r>
      <w:r>
        <w:rPr>
          <w:rFonts w:hint="eastAsia"/>
        </w:rPr>
        <w:fldChar w:fldCharType="end"/>
      </w:r>
      <w:r>
        <w:rPr>
          <w:rFonts w:hint="eastAsia"/>
        </w:rPr>
        <w:t>2</w:t>
      </w:r>
    </w:p>
    <w:p>
      <w:pPr>
        <w:pStyle w:val="7"/>
        <w:shd w:val="clear"/>
        <w:tabs>
          <w:tab w:val="right" w:leader="dot" w:pos="8834"/>
        </w:tabs>
        <w:snapToGrid w:val="0"/>
        <w:spacing w:line="560" w:lineRule="exact"/>
      </w:pPr>
      <w:r>
        <w:fldChar w:fldCharType="begin"/>
      </w:r>
      <w:r>
        <w:instrText xml:space="preserve"> HYPERLINK \l "_Toc70495091" </w:instrText>
      </w:r>
      <w:r>
        <w:fldChar w:fldCharType="separate"/>
      </w:r>
      <w:r>
        <w:rPr>
          <w:rStyle w:val="13"/>
          <w:rFonts w:hint="eastAsia" w:ascii="黑体" w:hAnsi="黑体" w:eastAsia="黑体"/>
          <w:color w:val="auto"/>
          <w:sz w:val="24"/>
          <w:szCs w:val="24"/>
        </w:rPr>
        <w:t>十一、综合总分计算</w:t>
      </w:r>
      <w:r>
        <w:tab/>
      </w:r>
      <w:r>
        <w:fldChar w:fldCharType="begin"/>
      </w:r>
      <w:r>
        <w:instrText xml:space="preserve"> PAGEREF _Toc70495091 \h </w:instrText>
      </w:r>
      <w:r>
        <w:fldChar w:fldCharType="separate"/>
      </w:r>
      <w:r>
        <w:t>1</w:t>
      </w:r>
      <w:r>
        <w:rPr>
          <w:rFonts w:hint="eastAsia"/>
          <w:lang w:val="en-US" w:eastAsia="zh-CN"/>
        </w:rPr>
        <w:t>2</w:t>
      </w:r>
      <w:r>
        <w:fldChar w:fldCharType="end"/>
      </w:r>
      <w:r>
        <w:fldChar w:fldCharType="end"/>
      </w:r>
    </w:p>
    <w:p>
      <w:pPr>
        <w:pStyle w:val="7"/>
        <w:shd w:val="clear"/>
        <w:tabs>
          <w:tab w:val="right" w:leader="dot" w:pos="8834"/>
        </w:tabs>
        <w:snapToGrid w:val="0"/>
        <w:spacing w:line="560" w:lineRule="exact"/>
      </w:pPr>
      <w:r>
        <w:fldChar w:fldCharType="begin"/>
      </w:r>
      <w:r>
        <w:instrText xml:space="preserve"> HYPERLINK \l "_Toc70495092" </w:instrText>
      </w:r>
      <w:r>
        <w:fldChar w:fldCharType="separate"/>
      </w:r>
      <w:r>
        <w:rPr>
          <w:rStyle w:val="13"/>
          <w:rFonts w:hint="eastAsia" w:ascii="黑体" w:hAnsi="黑体" w:eastAsia="黑体"/>
          <w:color w:val="auto"/>
          <w:sz w:val="24"/>
          <w:szCs w:val="24"/>
        </w:rPr>
        <w:t>十二、体检和考察</w:t>
      </w:r>
      <w:r>
        <w:tab/>
      </w:r>
      <w:r>
        <w:fldChar w:fldCharType="begin"/>
      </w:r>
      <w:r>
        <w:instrText xml:space="preserve"> PAGEREF _Toc70495092 \h </w:instrText>
      </w:r>
      <w:r>
        <w:fldChar w:fldCharType="separate"/>
      </w:r>
      <w:r>
        <w:t>13</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"_Toc70495093" </w:instrText>
      </w:r>
      <w:r>
        <w:fldChar w:fldCharType="separate"/>
      </w:r>
      <w:r>
        <w:rPr>
          <w:rStyle w:val="13"/>
          <w:rFonts w:hint="eastAsia" w:ascii="楷体" w:hAnsi="楷体" w:eastAsia="楷体"/>
          <w:color w:val="auto"/>
          <w:sz w:val="24"/>
          <w:szCs w:val="24"/>
        </w:rPr>
        <w:t>（一）确定体检人选</w:t>
      </w:r>
      <w:r>
        <w:tab/>
      </w:r>
      <w:r>
        <w:fldChar w:fldCharType="begin"/>
      </w:r>
      <w:r>
        <w:instrText xml:space="preserve"> PAGEREF _Toc70495093 \h </w:instrText>
      </w:r>
      <w:r>
        <w:fldChar w:fldCharType="separate"/>
      </w:r>
      <w:r>
        <w:t>13</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"_Toc70495094" </w:instrText>
      </w:r>
      <w:r>
        <w:fldChar w:fldCharType="separate"/>
      </w:r>
      <w:r>
        <w:rPr>
          <w:rStyle w:val="13"/>
          <w:rFonts w:hint="eastAsia" w:ascii="楷体" w:hAnsi="楷体" w:eastAsia="楷体"/>
          <w:color w:val="auto"/>
          <w:sz w:val="24"/>
          <w:szCs w:val="24"/>
        </w:rPr>
        <w:t>（二）组织体检</w:t>
      </w:r>
      <w:r>
        <w:tab/>
      </w:r>
      <w:r>
        <w:fldChar w:fldCharType="begin"/>
      </w:r>
      <w:r>
        <w:instrText xml:space="preserve"> PAGEREF _Toc70495094 \h </w:instrText>
      </w:r>
      <w:r>
        <w:fldChar w:fldCharType="separate"/>
      </w:r>
      <w:r>
        <w:t>14</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"_Toc70495095" </w:instrText>
      </w:r>
      <w:r>
        <w:fldChar w:fldCharType="separate"/>
      </w:r>
      <w:r>
        <w:rPr>
          <w:rStyle w:val="13"/>
          <w:rFonts w:hint="eastAsia" w:ascii="楷体" w:hAnsi="楷体" w:eastAsia="楷体"/>
          <w:color w:val="auto"/>
          <w:sz w:val="24"/>
          <w:szCs w:val="24"/>
        </w:rPr>
        <w:t>（三）体检依据</w:t>
      </w:r>
      <w:r>
        <w:tab/>
      </w:r>
      <w:r>
        <w:fldChar w:fldCharType="begin"/>
      </w:r>
      <w:r>
        <w:instrText xml:space="preserve"> PAGEREF _Toc70495095 \h </w:instrText>
      </w:r>
      <w:r>
        <w:fldChar w:fldCharType="separate"/>
      </w:r>
      <w:r>
        <w:t>14</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"_Toc70495096" </w:instrText>
      </w:r>
      <w:r>
        <w:fldChar w:fldCharType="separate"/>
      </w:r>
      <w:r>
        <w:rPr>
          <w:rStyle w:val="13"/>
          <w:rFonts w:hint="eastAsia" w:ascii="楷体" w:hAnsi="楷体" w:eastAsia="楷体"/>
          <w:color w:val="auto"/>
          <w:sz w:val="24"/>
          <w:szCs w:val="24"/>
        </w:rPr>
        <w:t>（四）体检复检</w:t>
      </w:r>
      <w:r>
        <w:tab/>
      </w:r>
      <w:r>
        <w:rPr>
          <w:rFonts w:hint="eastAsia"/>
        </w:rPr>
        <w:t>1</w:t>
      </w:r>
      <w:r>
        <w:rPr>
          <w:rFonts w:hint="eastAsia"/>
        </w:rPr>
        <w:fldChar w:fldCharType="end"/>
      </w:r>
      <w:r>
        <w:rPr>
          <w:rFonts w:hint="eastAsia"/>
        </w:rPr>
        <w:t>4</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"_Toc70495097" </w:instrText>
      </w:r>
      <w:r>
        <w:fldChar w:fldCharType="separate"/>
      </w:r>
      <w:r>
        <w:rPr>
          <w:rStyle w:val="13"/>
          <w:rFonts w:hint="eastAsia" w:ascii="楷体" w:hAnsi="楷体" w:eastAsia="楷体"/>
          <w:color w:val="auto"/>
          <w:sz w:val="24"/>
          <w:szCs w:val="24"/>
        </w:rPr>
        <w:t>（五）可延迟体检的情形</w:t>
      </w:r>
      <w:r>
        <w:tab/>
      </w:r>
      <w:r>
        <w:fldChar w:fldCharType="begin"/>
      </w:r>
      <w:r>
        <w:instrText xml:space="preserve"> PAGEREF _Toc70495097 \h </w:instrText>
      </w:r>
      <w:r>
        <w:fldChar w:fldCharType="end"/>
      </w:r>
      <w:r>
        <w:fldChar w:fldCharType="end"/>
      </w:r>
      <w:r>
        <w:rPr>
          <w:rFonts w:hint="eastAsia"/>
        </w:rPr>
        <w:t>15</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"_Toc70495098" </w:instrText>
      </w:r>
      <w:r>
        <w:fldChar w:fldCharType="separate"/>
      </w:r>
      <w:r>
        <w:rPr>
          <w:rStyle w:val="13"/>
          <w:rFonts w:hint="eastAsia" w:ascii="楷体" w:hAnsi="楷体" w:eastAsia="楷体"/>
          <w:color w:val="auto"/>
          <w:sz w:val="24"/>
          <w:szCs w:val="24"/>
        </w:rPr>
        <w:t>（六）考察</w:t>
      </w:r>
      <w:r>
        <w:tab/>
      </w:r>
      <w:r>
        <w:rPr>
          <w:rFonts w:hint="eastAsia"/>
        </w:rPr>
        <w:t>1</w:t>
      </w:r>
      <w:r>
        <w:rPr>
          <w:rFonts w:hint="eastAsia"/>
        </w:rPr>
        <w:fldChar w:fldCharType="end"/>
      </w:r>
      <w:r>
        <w:rPr>
          <w:rFonts w:hint="eastAsia"/>
        </w:rPr>
        <w:t>5</w:t>
      </w:r>
    </w:p>
    <w:p>
      <w:pPr>
        <w:pStyle w:val="7"/>
        <w:shd w:val="clear"/>
        <w:tabs>
          <w:tab w:val="right" w:leader="dot" w:pos="8834"/>
        </w:tabs>
        <w:snapToGrid w:val="0"/>
        <w:spacing w:line="560" w:lineRule="exact"/>
      </w:pPr>
      <w:r>
        <w:fldChar w:fldCharType="begin"/>
      </w:r>
      <w:r>
        <w:instrText xml:space="preserve"> HYPERLINK \l "_Toc70495099" </w:instrText>
      </w:r>
      <w:r>
        <w:fldChar w:fldCharType="separate"/>
      </w:r>
      <w:r>
        <w:rPr>
          <w:rStyle w:val="13"/>
          <w:rFonts w:hint="eastAsia" w:ascii="黑体" w:hAnsi="黑体" w:eastAsia="黑体"/>
          <w:color w:val="auto"/>
          <w:sz w:val="24"/>
          <w:szCs w:val="24"/>
        </w:rPr>
        <w:t>十三、公示</w:t>
      </w:r>
      <w:r>
        <w:tab/>
      </w:r>
      <w:r>
        <w:fldChar w:fldCharType="begin"/>
      </w:r>
      <w:r>
        <w:instrText xml:space="preserve"> PAGEREF _Toc70495099 \h </w:instrText>
      </w:r>
      <w:r>
        <w:fldChar w:fldCharType="separate"/>
      </w:r>
      <w:r>
        <w:t>1</w:t>
      </w:r>
      <w:r>
        <w:rPr>
          <w:rFonts w:hint="eastAsia"/>
        </w:rPr>
        <w:t>6</w:t>
      </w:r>
      <w:r>
        <w:fldChar w:fldCharType="end"/>
      </w:r>
      <w:r>
        <w:fldChar w:fldCharType="end"/>
      </w:r>
    </w:p>
    <w:p>
      <w:pPr>
        <w:pStyle w:val="7"/>
        <w:shd w:val="clear"/>
        <w:tabs>
          <w:tab w:val="right" w:leader="dot" w:pos="8834"/>
        </w:tabs>
        <w:snapToGrid w:val="0"/>
        <w:spacing w:line="560" w:lineRule="exact"/>
      </w:pPr>
      <w:r>
        <w:fldChar w:fldCharType="begin"/>
      </w:r>
      <w:r>
        <w:instrText xml:space="preserve"> HYPERLINK \l "_Toc70495100" </w:instrText>
      </w:r>
      <w:r>
        <w:fldChar w:fldCharType="separate"/>
      </w:r>
      <w:r>
        <w:rPr>
          <w:rStyle w:val="13"/>
          <w:rFonts w:hint="eastAsia" w:ascii="黑体" w:hAnsi="黑体" w:eastAsia="黑体"/>
          <w:color w:val="auto"/>
          <w:sz w:val="24"/>
          <w:szCs w:val="24"/>
        </w:rPr>
        <w:t>十四、聘用办理</w:t>
      </w:r>
      <w:r>
        <w:tab/>
      </w:r>
      <w:r>
        <w:fldChar w:fldCharType="begin"/>
      </w:r>
      <w:r>
        <w:instrText xml:space="preserve"> PAGEREF _Toc70495100 \h </w:instrText>
      </w:r>
      <w:r>
        <w:fldChar w:fldCharType="separate"/>
      </w:r>
      <w:r>
        <w:t>16</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"_Toc70495101" </w:instrText>
      </w:r>
      <w:r>
        <w:fldChar w:fldCharType="separate"/>
      </w:r>
      <w:r>
        <w:rPr>
          <w:rStyle w:val="13"/>
          <w:rFonts w:hint="eastAsia" w:ascii="楷体" w:hAnsi="楷体" w:eastAsia="楷体"/>
          <w:color w:val="auto"/>
          <w:sz w:val="24"/>
          <w:szCs w:val="24"/>
        </w:rPr>
        <w:t>（一）聘用手续办理</w:t>
      </w:r>
      <w:r>
        <w:tab/>
      </w:r>
      <w:r>
        <w:rPr>
          <w:rFonts w:hint="eastAsia"/>
        </w:rPr>
        <w:t>1</w:t>
      </w:r>
      <w:r>
        <w:rPr>
          <w:rFonts w:hint="eastAsia"/>
        </w:rPr>
        <w:fldChar w:fldCharType="end"/>
      </w:r>
      <w:r>
        <w:rPr>
          <w:rFonts w:hint="eastAsia"/>
        </w:rPr>
        <w:t>6</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"_Toc70495102" </w:instrText>
      </w:r>
      <w:r>
        <w:fldChar w:fldCharType="separate"/>
      </w:r>
      <w:r>
        <w:rPr>
          <w:rStyle w:val="13"/>
          <w:rFonts w:hint="eastAsia" w:ascii="楷体" w:hAnsi="楷体" w:eastAsia="楷体"/>
          <w:color w:val="auto"/>
          <w:sz w:val="24"/>
          <w:szCs w:val="24"/>
        </w:rPr>
        <w:t>（二）岗位聘任</w:t>
      </w:r>
      <w:r>
        <w:tab/>
      </w:r>
      <w:r>
        <w:rPr>
          <w:rFonts w:hint="eastAsia"/>
        </w:rPr>
        <w:t>1</w:t>
      </w:r>
      <w:r>
        <w:rPr>
          <w:rFonts w:hint="eastAsia"/>
        </w:rPr>
        <w:fldChar w:fldCharType="end"/>
      </w:r>
      <w:r>
        <w:rPr>
          <w:rFonts w:hint="eastAsia"/>
        </w:rPr>
        <w:t>6</w:t>
      </w:r>
    </w:p>
    <w:p>
      <w:pPr>
        <w:pStyle w:val="7"/>
        <w:shd w:val="clear"/>
        <w:tabs>
          <w:tab w:val="right" w:leader="dot" w:pos="8834"/>
        </w:tabs>
        <w:snapToGrid w:val="0"/>
        <w:spacing w:line="560" w:lineRule="exact"/>
      </w:pPr>
      <w:r>
        <w:fldChar w:fldCharType="begin"/>
      </w:r>
      <w:r>
        <w:instrText xml:space="preserve"> HYPERLINK \l "_Toc70495103" </w:instrText>
      </w:r>
      <w:r>
        <w:fldChar w:fldCharType="separate"/>
      </w:r>
      <w:r>
        <w:rPr>
          <w:rStyle w:val="13"/>
          <w:rFonts w:hint="eastAsia" w:ascii="黑体" w:hAnsi="黑体" w:eastAsia="黑体"/>
          <w:color w:val="auto"/>
          <w:sz w:val="24"/>
          <w:szCs w:val="24"/>
        </w:rPr>
        <w:t>十五、其他需说明事项</w:t>
      </w:r>
      <w:r>
        <w:tab/>
      </w:r>
      <w:r>
        <w:fldChar w:fldCharType="begin"/>
      </w:r>
      <w:r>
        <w:instrText xml:space="preserve"> PAGEREF _Toc70495103 \h </w:instrText>
      </w:r>
      <w:r>
        <w:fldChar w:fldCharType="separate"/>
      </w:r>
      <w:r>
        <w:t>1</w:t>
      </w:r>
      <w:r>
        <w:rPr>
          <w:rFonts w:hint="eastAsia"/>
        </w:rPr>
        <w:t>7</w:t>
      </w:r>
      <w:r>
        <w:fldChar w:fldCharType="end"/>
      </w:r>
      <w:r>
        <w:fldChar w:fldCharType="end"/>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"_Toc70495106" </w:instrText>
      </w:r>
      <w:r>
        <w:fldChar w:fldCharType="separate"/>
      </w:r>
      <w:r>
        <w:rPr>
          <w:rStyle w:val="13"/>
          <w:rFonts w:hint="eastAsia" w:ascii="楷体" w:hAnsi="楷体" w:eastAsia="楷体"/>
          <w:color w:val="auto"/>
          <w:sz w:val="24"/>
          <w:szCs w:val="24"/>
        </w:rPr>
        <w:t>（一）职称</w:t>
      </w:r>
      <w:r>
        <w:tab/>
      </w:r>
      <w:r>
        <w:rPr>
          <w:rFonts w:hint="eastAsia"/>
        </w:rPr>
        <w:t>1</w:t>
      </w:r>
      <w:r>
        <w:rPr>
          <w:rFonts w:hint="eastAsia"/>
        </w:rPr>
        <w:fldChar w:fldCharType="end"/>
      </w:r>
      <w:r>
        <w:rPr>
          <w:rFonts w:hint="eastAsia"/>
        </w:rPr>
        <w:t>7</w:t>
      </w:r>
    </w:p>
    <w:p>
      <w:pPr>
        <w:pStyle w:val="8"/>
        <w:shd w:val="clear"/>
        <w:tabs>
          <w:tab w:val="right" w:leader="dot" w:pos="8834"/>
        </w:tabs>
        <w:snapToGrid w:val="0"/>
        <w:spacing w:line="560" w:lineRule="exact"/>
        <w:ind w:left="0" w:leftChars="0" w:firstLine="420" w:firstLineChars="200"/>
        <w:rPr>
          <w:rFonts w:hint="eastAsia" w:eastAsia="宋体"/>
          <w:lang w:eastAsia="zh-CN"/>
        </w:rPr>
      </w:pPr>
      <w:r>
        <w:fldChar w:fldCharType="begin"/>
      </w:r>
      <w:r>
        <w:instrText xml:space="preserve"> HYPERLINK \l "_Toc70495107" </w:instrText>
      </w:r>
      <w:r>
        <w:fldChar w:fldCharType="separate"/>
      </w:r>
      <w:r>
        <w:rPr>
          <w:rStyle w:val="13"/>
          <w:rFonts w:hint="eastAsia" w:ascii="楷体" w:hAnsi="楷体" w:eastAsia="楷体"/>
          <w:color w:val="auto"/>
          <w:sz w:val="24"/>
          <w:szCs w:val="24"/>
        </w:rPr>
        <w:t>（二）生源</w:t>
      </w:r>
      <w:r>
        <w:tab/>
      </w:r>
      <w:r>
        <w:rPr>
          <w:rFonts w:hint="eastAsia"/>
        </w:rPr>
        <w:t>1</w:t>
      </w:r>
      <w:r>
        <w:rPr>
          <w:rFonts w:hint="eastAsia"/>
        </w:rPr>
        <w:fldChar w:fldCharType="end"/>
      </w:r>
      <w:r>
        <w:rPr>
          <w:rFonts w:hint="eastAsia"/>
          <w:lang w:val="en-US" w:eastAsia="zh-CN"/>
        </w:rPr>
        <w:t>7</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"_Toc70495108" </w:instrText>
      </w:r>
      <w:r>
        <w:fldChar w:fldCharType="separate"/>
      </w:r>
      <w:r>
        <w:rPr>
          <w:rStyle w:val="13"/>
          <w:rFonts w:hint="eastAsia" w:ascii="楷体" w:hAnsi="楷体" w:eastAsia="楷体"/>
          <w:color w:val="auto"/>
          <w:sz w:val="24"/>
          <w:szCs w:val="24"/>
        </w:rPr>
        <w:t>（三）港澳台人员</w:t>
      </w:r>
      <w:r>
        <w:tab/>
      </w:r>
      <w:r>
        <w:rPr>
          <w:rFonts w:hint="eastAsia"/>
        </w:rPr>
        <w:t>1</w:t>
      </w:r>
      <w:r>
        <w:rPr>
          <w:rFonts w:hint="eastAsia"/>
        </w:rPr>
        <w:fldChar w:fldCharType="end"/>
      </w:r>
      <w:r>
        <w:rPr>
          <w:rFonts w:hint="eastAsia"/>
        </w:rPr>
        <w:t>8</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"_Toc70495104" </w:instrText>
      </w:r>
      <w:r>
        <w:fldChar w:fldCharType="separate"/>
      </w:r>
      <w:r>
        <w:rPr>
          <w:rStyle w:val="13"/>
          <w:rFonts w:hint="eastAsia" w:ascii="楷体" w:hAnsi="楷体" w:eastAsia="楷体"/>
          <w:color w:val="auto"/>
          <w:sz w:val="24"/>
          <w:szCs w:val="24"/>
        </w:rPr>
        <w:t>（四）技工院校毕业生</w:t>
      </w:r>
      <w:r>
        <w:tab/>
      </w:r>
      <w:r>
        <w:rPr>
          <w:rFonts w:hint="eastAsia"/>
        </w:rPr>
        <w:t>1</w:t>
      </w:r>
      <w:r>
        <w:rPr>
          <w:rFonts w:hint="eastAsia"/>
        </w:rPr>
        <w:fldChar w:fldCharType="end"/>
      </w:r>
      <w:r>
        <w:rPr>
          <w:rFonts w:hint="eastAsia"/>
        </w:rPr>
        <w:t>8</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"_Toc70495105" </w:instrText>
      </w:r>
      <w:r>
        <w:fldChar w:fldCharType="separate"/>
      </w:r>
      <w:r>
        <w:rPr>
          <w:rStyle w:val="13"/>
          <w:rFonts w:hint="eastAsia" w:ascii="楷体" w:hAnsi="楷体" w:eastAsia="楷体"/>
          <w:color w:val="auto"/>
          <w:sz w:val="24"/>
          <w:szCs w:val="24"/>
        </w:rPr>
        <w:t>（五）规范化培训</w:t>
      </w:r>
      <w:r>
        <w:tab/>
      </w:r>
      <w:r>
        <w:rPr>
          <w:rFonts w:hint="eastAsia"/>
        </w:rPr>
        <w:t>1</w:t>
      </w:r>
      <w:r>
        <w:rPr>
          <w:rFonts w:hint="eastAsia"/>
        </w:rPr>
        <w:fldChar w:fldCharType="end"/>
      </w:r>
      <w:r>
        <w:rPr>
          <w:rFonts w:hint="eastAsia"/>
        </w:rPr>
        <w:t>9</w:t>
      </w:r>
    </w:p>
    <w:p>
      <w:pPr>
        <w:pStyle w:val="8"/>
        <w:shd w:val="clear"/>
        <w:tabs>
          <w:tab w:val="right" w:leader="dot" w:pos="8834"/>
        </w:tabs>
        <w:snapToGrid w:val="0"/>
        <w:spacing w:line="560" w:lineRule="exact"/>
        <w:ind w:left="0" w:leftChars="0" w:firstLine="420" w:firstLineChars="200"/>
      </w:pPr>
      <w:r>
        <w:fldChar w:fldCharType="begin"/>
      </w:r>
      <w:r>
        <w:instrText xml:space="preserve"> HYPERLINK \l "_Toc70495104" </w:instrText>
      </w:r>
      <w:r>
        <w:fldChar w:fldCharType="separate"/>
      </w:r>
      <w:r>
        <w:rPr>
          <w:rStyle w:val="13"/>
          <w:rFonts w:hint="eastAsia" w:ascii="楷体" w:hAnsi="楷体" w:eastAsia="楷体"/>
          <w:color w:val="auto"/>
          <w:sz w:val="24"/>
          <w:szCs w:val="24"/>
        </w:rPr>
        <w:t>（六）其他</w:t>
      </w:r>
      <w:r>
        <w:tab/>
      </w:r>
      <w:r>
        <w:rPr>
          <w:rFonts w:hint="eastAsia"/>
        </w:rPr>
        <w:t>19</w:t>
      </w:r>
      <w:r>
        <w:rPr>
          <w:rFonts w:hint="eastAsia"/>
        </w:rPr>
        <w:fldChar w:fldCharType="end"/>
      </w:r>
    </w:p>
    <w:p>
      <w:pPr>
        <w:shd w:val="clear"/>
        <w:snapToGrid w:val="0"/>
        <w:spacing w:line="560" w:lineRule="exact"/>
        <w:rPr>
          <w:rFonts w:ascii="仿宋" w:hAnsi="仿宋" w:eastAsia="仿宋" w:cs="仿宋"/>
          <w:sz w:val="24"/>
          <w:szCs w:val="24"/>
        </w:rPr>
        <w:sectPr>
          <w:footerReference r:id="rId3" w:type="default"/>
          <w:pgSz w:w="11906" w:h="16838"/>
          <w:pgMar w:top="2098" w:right="1474" w:bottom="1984" w:left="1587" w:header="851" w:footer="992" w:gutter="0"/>
          <w:pgNumType w:start="1"/>
          <w:cols w:space="0" w:num="1"/>
          <w:docGrid w:type="lines" w:linePitch="312" w:charSpace="0"/>
        </w:sectPr>
      </w:pPr>
      <w:r>
        <w:rPr>
          <w:rFonts w:ascii="仿宋" w:hAnsi="仿宋" w:eastAsia="仿宋" w:cs="仿宋"/>
          <w:sz w:val="24"/>
          <w:szCs w:val="24"/>
        </w:rPr>
        <w:fldChar w:fldCharType="end"/>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本须知仅适用于厦门市翔安区所属卫生事业单位公开招聘工作人员考试（2024年4月），由厦门市翔安区人力资源和社会保障局（以下简称“区人社局”）负责解释。</w:t>
      </w:r>
    </w:p>
    <w:p>
      <w:pPr>
        <w:shd w:val="clear"/>
        <w:tabs>
          <w:tab w:val="left" w:pos="0"/>
        </w:tabs>
        <w:snapToGrid w:val="0"/>
        <w:spacing w:line="560" w:lineRule="exact"/>
        <w:ind w:firstLine="640" w:firstLineChars="200"/>
        <w:outlineLvl w:val="0"/>
        <w:rPr>
          <w:rFonts w:ascii="黑体" w:hAnsi="黑体" w:eastAsia="黑体" w:cs="黑体"/>
          <w:sz w:val="32"/>
          <w:szCs w:val="32"/>
        </w:rPr>
      </w:pPr>
      <w:bookmarkStart w:id="1" w:name="_Toc70495066"/>
      <w:r>
        <w:rPr>
          <w:rFonts w:hint="eastAsia" w:ascii="黑体" w:hAnsi="黑体" w:eastAsia="黑体" w:cs="黑体"/>
          <w:sz w:val="32"/>
          <w:szCs w:val="32"/>
        </w:rPr>
        <w:t>一、基本条件</w:t>
      </w:r>
      <w:bookmarkEnd w:id="1"/>
    </w:p>
    <w:p>
      <w:pPr>
        <w:shd w:val="clear"/>
        <w:spacing w:line="560" w:lineRule="exact"/>
        <w:ind w:firstLine="640" w:firstLineChars="200"/>
        <w:rPr>
          <w:rFonts w:ascii="仿宋_GB2312" w:hAnsi="宋体" w:eastAsia="仿宋_GB2312"/>
          <w:sz w:val="32"/>
          <w:szCs w:val="32"/>
        </w:rPr>
      </w:pPr>
      <w:bookmarkStart w:id="2" w:name="_Toc70495067"/>
      <w:r>
        <w:rPr>
          <w:rFonts w:hint="eastAsia" w:ascii="仿宋_GB2312" w:hAnsi="宋体" w:eastAsia="仿宋_GB2312"/>
          <w:sz w:val="32"/>
          <w:szCs w:val="32"/>
        </w:rPr>
        <w:t>（一）具有中华人民共和国国籍；</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（二）拥护中华人民共和国宪法，拥护中国共产党领导和社会主义制度；</w:t>
      </w:r>
    </w:p>
    <w:p>
      <w:pPr>
        <w:shd w:val="clear"/>
        <w:spacing w:line="560" w:lineRule="exact"/>
        <w:ind w:firstLine="640" w:firstLineChars="200"/>
        <w:rPr>
          <w:rFonts w:ascii="仿宋_GB2312" w:hAnsi="宋体" w:eastAsia="仿宋_GB2312"/>
          <w:sz w:val="32"/>
          <w:szCs w:val="32"/>
        </w:rPr>
      </w:pPr>
      <w:bookmarkStart w:id="3" w:name="_Toc7847_WPSOffice_Level2"/>
      <w:bookmarkStart w:id="4" w:name="_Toc20094_WPSOffice_Level2"/>
      <w:bookmarkStart w:id="5" w:name="_Toc6014_WPSOffice_Level2"/>
      <w:bookmarkStart w:id="6" w:name="_Toc9634_WPSOffice_Level2"/>
      <w:r>
        <w:rPr>
          <w:rFonts w:hint="eastAsia" w:ascii="仿宋_GB2312" w:hAnsi="宋体" w:eastAsia="仿宋_GB2312"/>
          <w:sz w:val="32"/>
          <w:szCs w:val="32"/>
        </w:rPr>
        <w:t>（三）</w:t>
      </w:r>
      <w:bookmarkEnd w:id="3"/>
      <w:bookmarkEnd w:id="4"/>
      <w:bookmarkEnd w:id="5"/>
      <w:bookmarkEnd w:id="6"/>
      <w:r>
        <w:rPr>
          <w:rFonts w:hint="eastAsia" w:ascii="仿宋_GB2312" w:hAnsi="宋体" w:eastAsia="仿宋_GB2312"/>
          <w:sz w:val="32"/>
          <w:szCs w:val="32"/>
        </w:rPr>
        <w:t>热爱卫生健康事业，具有良好的政治素质和职业道德，具有正常履行职责的身体条件和心理素质；</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eastAsia="仿宋_GB2312"/>
          <w:sz w:val="32"/>
          <w:szCs w:val="32"/>
        </w:rPr>
        <w:t>18周岁以上、35周岁以下（在1988年4月至2006年4月期间出生），对年龄条件另有要求的，以岗位要求为准</w:t>
      </w:r>
      <w:r>
        <w:rPr>
          <w:rFonts w:hint="eastAsia" w:ascii="仿宋_GB2312" w:hAnsi="宋体" w:eastAsia="仿宋_GB2312"/>
          <w:sz w:val="32"/>
          <w:szCs w:val="32"/>
        </w:rPr>
        <w:t>；</w:t>
      </w:r>
    </w:p>
    <w:p>
      <w:pPr>
        <w:shd w:val="clea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（五）具备招聘岗位设置的资格条件。</w:t>
      </w:r>
    </w:p>
    <w:p>
      <w:pPr>
        <w:shd w:val="clear"/>
        <w:snapToGrid w:val="0"/>
        <w:spacing w:line="560" w:lineRule="exact"/>
        <w:rPr>
          <w:rFonts w:ascii="黑体" w:hAnsi="黑体" w:eastAsia="黑体" w:cs="黑体"/>
          <w:sz w:val="32"/>
          <w:szCs w:val="32"/>
        </w:rPr>
      </w:pPr>
      <w:r>
        <w:rPr>
          <w:rFonts w:hint="eastAsia" w:ascii="黑体" w:hAnsi="黑体" w:eastAsia="黑体" w:cs="黑体"/>
          <w:sz w:val="32"/>
          <w:szCs w:val="32"/>
        </w:rPr>
        <w:t xml:space="preserve">    二、不得报考或取消报考（聘用）资格的情形</w:t>
      </w:r>
      <w:bookmarkEnd w:id="2"/>
    </w:p>
    <w:p>
      <w:pPr>
        <w:shd w:val="clear"/>
        <w:spacing w:line="560" w:lineRule="exact"/>
        <w:ind w:firstLine="640" w:firstLineChars="200"/>
        <w:rPr>
          <w:rFonts w:ascii="仿宋_GB2312" w:hAnsi="宋体" w:eastAsia="仿宋_GB2312"/>
          <w:sz w:val="32"/>
          <w:szCs w:val="32"/>
        </w:rPr>
      </w:pPr>
      <w:bookmarkStart w:id="7" w:name="_Toc70495068"/>
      <w:r>
        <w:rPr>
          <w:rFonts w:hint="eastAsia" w:ascii="仿宋_GB2312" w:hAnsi="宋体" w:eastAsia="仿宋_GB2312"/>
          <w:sz w:val="32"/>
          <w:szCs w:val="32"/>
        </w:rPr>
        <w:t>（一）曾因犯罪受过刑事处罚的；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（二）曾被开除公职或开除中国共产党党籍的；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（三）被依法列为失信联合惩戒对象的；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（四）工作期间曾发生医疗事故负有主要责任的；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（五）在各级公务员或事业单位招考中被认定有舞弊等严重违反录(聘)用纪律行为的；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（六）公务员或参照公务员法管理机关（单位）工作人员（以下简称“参公人员”）被辞退未满5年的；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w:t>
      </w:r>
      <w:r>
        <w:rPr>
          <w:rFonts w:hint="eastAsia" w:ascii="仿宋_GB2312" w:eastAsia="仿宋_GB2312"/>
          <w:sz w:val="32"/>
          <w:szCs w:val="32"/>
        </w:rPr>
        <w:t>公务员或参公人员录用后服务年限未达到与当地公务员主管部门或所在单位组织人事部门约定服务年限的</w:t>
      </w:r>
      <w:r>
        <w:rPr>
          <w:rFonts w:hint="eastAsia" w:ascii="仿宋_GB2312" w:hAnsi="宋体" w:eastAsia="仿宋_GB2312"/>
          <w:sz w:val="32"/>
          <w:szCs w:val="32"/>
        </w:rPr>
        <w:t>；</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（八）</w:t>
      </w:r>
      <w:r>
        <w:rPr>
          <w:rFonts w:hint="eastAsia" w:ascii="仿宋_GB2312" w:hAnsi="宋体" w:eastAsia="仿宋_GB2312"/>
          <w:sz w:val="32"/>
          <w:szCs w:val="32"/>
        </w:rPr>
        <w:t>现役军人及普通高等院校全日制在读的非应届毕业生（即2025年及以后才学业期满的全日制普通教育学生）；</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（九）聘用后即构成应回避关系的；</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（十一）法律法规规章规定不得聘为事业单位人员的其他情形。</w:t>
      </w:r>
    </w:p>
    <w:p>
      <w:pPr>
        <w:shd w:val="clear"/>
        <w:tabs>
          <w:tab w:val="left" w:pos="0"/>
        </w:tabs>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三、选报岗位</w:t>
      </w:r>
      <w:bookmarkEnd w:id="7"/>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8" w:name="_Toc70495069"/>
      <w:r>
        <w:rPr>
          <w:rFonts w:hint="eastAsia" w:ascii="楷体_GB2312" w:hAnsi="楷体_GB2312" w:eastAsia="楷体_GB2312" w:cs="楷体_GB2312"/>
          <w:b/>
          <w:sz w:val="32"/>
          <w:szCs w:val="32"/>
        </w:rPr>
        <w:t>（一）报考条件确认</w:t>
      </w:r>
      <w:bookmarkEnd w:id="8"/>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报考者须在报名时，全面、逐项对照招聘岗位和招聘简章等要求，确认符合报考资格条件。</w:t>
      </w:r>
    </w:p>
    <w:p>
      <w:pPr>
        <w:shd w:val="clear"/>
        <w:snapToGrid w:val="0"/>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w:t>
      </w:r>
      <w:bookmarkStart w:id="9" w:name="_Toc70495070"/>
      <w:r>
        <w:rPr>
          <w:rFonts w:hint="eastAsia" w:ascii="仿宋_GB2312" w:hAnsi="仿宋_GB2312" w:eastAsia="仿宋_GB2312" w:cs="仿宋_GB2312"/>
          <w:sz w:val="32"/>
          <w:szCs w:val="32"/>
        </w:rPr>
        <w:t>本次考试采取网上报名，请报考者登录厦门市卫生健康事业单位招聘考试系统（http://27.159.97.135/index.aspx，以下简称报名系统）报名。曾在报名系统注册信息的考生，可使用原有的用户名和密码登陆，根据系统提示进行个人信息的更新维护及本次考试的报名。每名报考者只能报考1个岗位，通过资格初审后不得更改，并以通过资格初审的岗位参加考试。</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（二）照片要求</w:t>
      </w:r>
      <w:bookmarkEnd w:id="9"/>
    </w:p>
    <w:p>
      <w:pPr>
        <w:shd w:val="clear" w:color="auto"/>
        <w:adjustRightInd w:val="0"/>
        <w:spacing w:line="560" w:lineRule="exact"/>
        <w:ind w:firstLine="640" w:firstLineChars="200"/>
        <w:jc w:val="left"/>
        <w:rPr>
          <w:rFonts w:ascii="仿宋_GB2312" w:hAnsi="宋体" w:eastAsia="仿宋_GB2312"/>
          <w:sz w:val="32"/>
          <w:szCs w:val="32"/>
        </w:rPr>
      </w:pPr>
      <w:bookmarkStart w:id="10" w:name="_Toc70495072"/>
      <w:r>
        <w:rPr>
          <w:rFonts w:hint="eastAsia" w:ascii="仿宋_GB2312" w:hAnsi="宋体" w:eastAsia="仿宋_GB2312" w:cs="宋体"/>
          <w:sz w:val="32"/>
          <w:szCs w:val="32"/>
        </w:rPr>
        <w:t>报考者应在网上报名时提交近期正面免冠二寸彩色数码证件照（</w:t>
      </w:r>
      <w:r>
        <w:rPr>
          <w:rFonts w:hint="eastAsia" w:ascii="仿宋_GB2312" w:hAnsi="宋体" w:eastAsia="仿宋_GB2312"/>
          <w:sz w:val="32"/>
          <w:szCs w:val="32"/>
        </w:rPr>
        <w:t>jpg</w:t>
      </w:r>
      <w:r>
        <w:rPr>
          <w:rFonts w:hint="eastAsia" w:ascii="仿宋_GB2312" w:hAnsi="宋体" w:eastAsia="仿宋_GB2312" w:cs="宋体"/>
          <w:sz w:val="32"/>
          <w:szCs w:val="32"/>
        </w:rPr>
        <w:t>格式，规格</w:t>
      </w:r>
      <w:r>
        <w:rPr>
          <w:rFonts w:hint="eastAsia" w:ascii="仿宋_GB2312" w:hAnsi="宋体" w:eastAsia="仿宋_GB2312"/>
          <w:sz w:val="32"/>
          <w:szCs w:val="32"/>
        </w:rPr>
        <w:t>200K</w:t>
      </w:r>
      <w:r>
        <w:rPr>
          <w:rFonts w:hint="eastAsia" w:ascii="仿宋_GB2312" w:hAnsi="宋体" w:eastAsia="仿宋_GB2312" w:cs="宋体"/>
          <w:sz w:val="32"/>
          <w:szCs w:val="32"/>
        </w:rPr>
        <w:t>以下）。以下为常见不合格照片：①着制式服装照（公安、工商、武警等）；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shd w:val="clear" w:color="auto"/>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（三）回避情形</w:t>
      </w:r>
      <w:bookmarkEnd w:id="10"/>
    </w:p>
    <w:p>
      <w:pPr>
        <w:shd w:val="clear"/>
        <w:spacing w:line="560" w:lineRule="exact"/>
        <w:ind w:firstLine="640" w:firstLineChars="200"/>
        <w:rPr>
          <w:rFonts w:ascii="仿宋_GB2312" w:eastAsia="仿宋_GB2312"/>
          <w:sz w:val="32"/>
          <w:szCs w:val="32"/>
        </w:rPr>
      </w:pPr>
      <w:bookmarkStart w:id="11" w:name="_Toc70495073"/>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所称直接上下级领导关系包括：</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从事招聘工作的人员存在应当回避情形的，须实行履职回避。</w:t>
      </w:r>
    </w:p>
    <w:p>
      <w:pPr>
        <w:shd w:val="clea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四、年龄、资格（历）等的计算办法</w:t>
      </w:r>
      <w:bookmarkEnd w:id="11"/>
    </w:p>
    <w:p>
      <w:pPr>
        <w:shd w:val="clea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如无特别说明，相关年限的计算、证书取得时间等，均指计算截至报名截止当月，即2024年4月。</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（一）年龄</w:t>
      </w:r>
    </w:p>
    <w:p>
      <w:pPr>
        <w:shd w:val="clear"/>
        <w:snapToGrid w:val="0"/>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最高年龄要求35周岁是指已满18周岁、未满36周岁（在1988年4月至2006年4月期间出生的人员），具体计算到月。其他最高年龄要求的计算方法以此类推。</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（二）资格（历）等</w:t>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岗位资格条件、《简章》和《报考须知》要求具有××条件以上的，如无特别说明，均含本数。如：具有2年以上工作经验，指截至报名截止当月具有2年或2年以上工作经验。</w:t>
      </w:r>
    </w:p>
    <w:p>
      <w:pPr>
        <w:shd w:val="clear"/>
        <w:snapToGrid w:val="0"/>
        <w:spacing w:line="560" w:lineRule="exact"/>
        <w:ind w:firstLine="640" w:firstLineChars="200"/>
        <w:outlineLvl w:val="0"/>
        <w:rPr>
          <w:rFonts w:ascii="黑体" w:hAnsi="黑体" w:eastAsia="黑体" w:cs="黑体"/>
          <w:sz w:val="32"/>
          <w:szCs w:val="32"/>
        </w:rPr>
      </w:pPr>
      <w:bookmarkStart w:id="12" w:name="_Toc70495074"/>
      <w:r>
        <w:rPr>
          <w:rFonts w:hint="eastAsia" w:ascii="黑体" w:hAnsi="黑体" w:eastAsia="黑体" w:cs="黑体"/>
          <w:sz w:val="32"/>
          <w:szCs w:val="32"/>
        </w:rPr>
        <w:t>五、学历（位）认定</w:t>
      </w:r>
      <w:bookmarkEnd w:id="12"/>
    </w:p>
    <w:p>
      <w:pPr>
        <w:shd w:val="clear"/>
        <w:spacing w:line="560" w:lineRule="exact"/>
        <w:ind w:firstLine="640" w:firstLineChars="200"/>
        <w:rPr>
          <w:rFonts w:ascii="楷体" w:hAnsi="楷体" w:eastAsia="楷体"/>
          <w:b/>
          <w:sz w:val="32"/>
          <w:szCs w:val="32"/>
        </w:rPr>
      </w:pPr>
      <w:r>
        <w:rPr>
          <w:rFonts w:hint="eastAsia" w:ascii="仿宋_GB2312" w:eastAsia="仿宋_GB2312"/>
          <w:sz w:val="32"/>
          <w:szCs w:val="32"/>
        </w:rPr>
        <w:t>报考者的学历应为国家承认的国民教育序列学历。</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13" w:name="_Toc19057"/>
      <w:bookmarkStart w:id="14" w:name="_Toc82669408"/>
      <w:r>
        <w:rPr>
          <w:rFonts w:hint="eastAsia" w:ascii="楷体_GB2312" w:hAnsi="楷体_GB2312" w:eastAsia="楷体_GB2312" w:cs="楷体_GB2312"/>
          <w:b/>
          <w:sz w:val="32"/>
          <w:szCs w:val="32"/>
        </w:rPr>
        <w:t>（一）境内学历（位）</w:t>
      </w:r>
      <w:bookmarkEnd w:id="13"/>
    </w:p>
    <w:p>
      <w:pPr>
        <w:shd w:val="clear"/>
        <w:spacing w:line="560" w:lineRule="exact"/>
        <w:ind w:firstLine="640" w:firstLineChars="200"/>
        <w:rPr>
          <w:rFonts w:ascii="仿宋_GB2312" w:eastAsia="仿宋_GB2312"/>
          <w:strike/>
          <w:sz w:val="32"/>
          <w:szCs w:val="32"/>
        </w:rPr>
      </w:pPr>
      <w:r>
        <w:rPr>
          <w:rFonts w:hint="eastAsia" w:ascii="仿宋_GB2312" w:eastAsia="仿宋_GB2312"/>
          <w:sz w:val="32"/>
          <w:szCs w:val="32"/>
        </w:rPr>
        <w:t>用于报考的学历（位）（含自学考试、成人教育、网络教育、夜大、电大等）应在中国高等教育学生信息网（简称“学信网”，http://www.chsi.com.cn/）上可查询认证。已取得国家承认的列入国民教育序列学历的报考者，以辅修专业报考的，其专业资格也可以按照本人同时收录在“学信网”“学信档案”版块“学历信息”和“学位信息”栏目的辅修专业信息予以认定。</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15" w:name="_Toc2804"/>
      <w:r>
        <w:rPr>
          <w:rFonts w:hint="eastAsia" w:ascii="楷体_GB2312" w:hAnsi="楷体_GB2312" w:eastAsia="楷体_GB2312" w:cs="楷体_GB2312"/>
          <w:b/>
          <w:sz w:val="32"/>
          <w:szCs w:val="32"/>
        </w:rPr>
        <w:t>（二）第二学士学位</w:t>
      </w:r>
      <w:bookmarkEnd w:id="15"/>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根据《教育部办公厅关于在普通高校继续开展第二学士学位教育的通知》（教高厅函〔2020〕9号）取得第二学士学位的毕业证书和学位证书，按上述要求进行查询认证。</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16" w:name="_Toc10245"/>
      <w:r>
        <w:rPr>
          <w:rFonts w:hint="eastAsia" w:ascii="楷体_GB2312" w:hAnsi="楷体_GB2312" w:eastAsia="楷体_GB2312" w:cs="楷体_GB2312"/>
          <w:b/>
          <w:sz w:val="32"/>
          <w:szCs w:val="32"/>
        </w:rPr>
        <w:t>（三）境外学历（位）</w:t>
      </w:r>
      <w:bookmarkEnd w:id="16"/>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持境外学历（位）报考的，或者属于国内院校与国外院校联合办学取得境外学历（位）的，应提供教育部留学服务中心出具的有效证明材料。</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17" w:name="_Toc15473"/>
      <w:r>
        <w:rPr>
          <w:rFonts w:hint="eastAsia" w:ascii="楷体_GB2312" w:hAnsi="楷体_GB2312" w:eastAsia="楷体_GB2312" w:cs="楷体_GB2312"/>
          <w:b/>
          <w:sz w:val="32"/>
          <w:szCs w:val="32"/>
        </w:rPr>
        <w:t>（四）我省“双学位”“双专业”学历</w:t>
      </w:r>
      <w:bookmarkEnd w:id="17"/>
    </w:p>
    <w:p>
      <w:pPr>
        <w:widowControl/>
        <w:shd w:val="clear"/>
        <w:spacing w:line="560" w:lineRule="exact"/>
        <w:ind w:firstLine="600"/>
        <w:jc w:val="left"/>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（五）提醒事项</w:t>
      </w:r>
      <w:bookmarkEnd w:id="14"/>
    </w:p>
    <w:p>
      <w:pPr>
        <w:shd w:val="clear"/>
        <w:spacing w:line="560" w:lineRule="exact"/>
        <w:ind w:firstLine="640" w:firstLineChars="200"/>
        <w:rPr>
          <w:rFonts w:ascii="仿宋_GB2312" w:eastAsia="仿宋_GB2312"/>
          <w:sz w:val="32"/>
          <w:szCs w:val="32"/>
        </w:rPr>
      </w:pPr>
      <w:bookmarkStart w:id="18" w:name="_Toc70495075"/>
      <w:r>
        <w:rPr>
          <w:rFonts w:hint="eastAsia" w:ascii="仿宋_GB2312" w:eastAsia="仿宋_GB2312"/>
          <w:sz w:val="32"/>
          <w:szCs w:val="32"/>
        </w:rPr>
        <w:t>1.面试资格复核时，招聘单位将对学历（位）进行核查，请考生按照上述要求，提前做好相应认证报告或网上查验准备。</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2.2024届高校毕业生在岗位资格复核时，尚无法提供学历（位）证书及其认证材料原件的，须提供有效的《全国普通高等学校毕业生就业协议书》或相关证明，且本科及以下学历毕业生须于2024年9月30日前、研究生学历毕业生须于2024年12月31日前取得并能提供符合岗位报考资格条件的学历（位）证书及其认证材料，否则视为自动放弃考试（聘用）资格。</w:t>
      </w:r>
    </w:p>
    <w:p>
      <w:pPr>
        <w:shd w:val="clea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六、专业</w:t>
      </w:r>
      <w:bookmarkEnd w:id="18"/>
    </w:p>
    <w:p>
      <w:pPr>
        <w:shd w:val="clear"/>
        <w:spacing w:line="560" w:lineRule="exact"/>
        <w:ind w:firstLine="640" w:firstLineChars="200"/>
        <w:rPr>
          <w:rFonts w:ascii="仿宋_GB2312" w:eastAsia="仿宋_GB2312"/>
          <w:sz w:val="32"/>
          <w:szCs w:val="32"/>
          <w:bdr w:val="single" w:color="auto" w:sz="4" w:space="0"/>
        </w:rPr>
      </w:pPr>
      <w:r>
        <w:rPr>
          <w:rFonts w:hint="eastAsia" w:ascii="仿宋_GB2312" w:eastAsia="仿宋_GB2312"/>
          <w:sz w:val="32"/>
          <w:szCs w:val="32"/>
        </w:rPr>
        <w:t>本次招考以《福建省机关事业单位招考专业指导目录（2024年）》（文中简称《专业指导目录》）作为岗位专业条件设置和审核的依据。其他来源的专业指导目录不作为本次报考和审核的依据。</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19" w:name="_Toc3675"/>
      <w:r>
        <w:rPr>
          <w:rFonts w:hint="eastAsia" w:ascii="楷体_GB2312" w:hAnsi="楷体_GB2312" w:eastAsia="楷体_GB2312" w:cs="楷体_GB2312"/>
          <w:b/>
          <w:sz w:val="32"/>
          <w:szCs w:val="32"/>
        </w:rPr>
        <w:t>（一）填报专业名称</w:t>
      </w:r>
      <w:bookmarkEnd w:id="19"/>
    </w:p>
    <w:p>
      <w:pPr>
        <w:shd w:val="clear"/>
        <w:spacing w:line="560" w:lineRule="exact"/>
        <w:ind w:firstLine="640" w:firstLineChars="200"/>
        <w:rPr>
          <w:rFonts w:ascii="仿宋_GB2312" w:eastAsia="仿宋_GB2312"/>
          <w:sz w:val="32"/>
          <w:szCs w:val="32"/>
        </w:rPr>
      </w:pPr>
      <w:r>
        <w:rPr>
          <w:rFonts w:ascii="仿宋_GB2312" w:eastAsia="仿宋_GB2312"/>
          <w:sz w:val="32"/>
          <w:szCs w:val="32"/>
        </w:rPr>
        <w:t>专业以毕业证书上注明的为准，报考者应</w:t>
      </w:r>
      <w:r>
        <w:rPr>
          <w:rFonts w:ascii="仿宋_GB2312" w:eastAsia="仿宋_GB2312"/>
          <w:b/>
          <w:bCs/>
          <w:sz w:val="32"/>
          <w:szCs w:val="32"/>
        </w:rPr>
        <w:t>只字不差、如实填写</w:t>
      </w:r>
      <w:r>
        <w:rPr>
          <w:rFonts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sz w:val="32"/>
          <w:szCs w:val="32"/>
        </w:rPr>
        <w:t>招聘</w:t>
      </w:r>
      <w:r>
        <w:rPr>
          <w:rFonts w:ascii="仿宋_GB2312" w:eastAsia="仿宋_GB2312"/>
          <w:sz w:val="32"/>
          <w:szCs w:val="32"/>
        </w:rPr>
        <w:t>单位要求提供学校教务部门出具的证明材料。</w:t>
      </w:r>
    </w:p>
    <w:p>
      <w:pPr>
        <w:shd w:val="clear"/>
        <w:spacing w:line="560" w:lineRule="exact"/>
        <w:ind w:firstLine="640" w:firstLineChars="200"/>
        <w:rPr>
          <w:rFonts w:ascii="仿宋_GB2312" w:eastAsia="仿宋_GB2312"/>
          <w:sz w:val="32"/>
          <w:szCs w:val="32"/>
        </w:rPr>
      </w:pPr>
      <w:r>
        <w:rPr>
          <w:rFonts w:ascii="仿宋_GB2312" w:eastAsia="仿宋_GB2312"/>
          <w:sz w:val="32"/>
          <w:szCs w:val="32"/>
        </w:rPr>
        <w:t>以境外学历报考且专业名称为非汉语的，以教育部留学服务中心出具的相关证明为准。</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20" w:name="_Toc16768"/>
      <w:r>
        <w:rPr>
          <w:rFonts w:hint="eastAsia" w:ascii="楷体_GB2312" w:hAnsi="楷体_GB2312" w:eastAsia="楷体_GB2312" w:cs="楷体_GB2312"/>
          <w:b/>
          <w:sz w:val="32"/>
          <w:szCs w:val="32"/>
        </w:rPr>
        <w:t>（二）专业与学历（位）的对应关系</w:t>
      </w:r>
      <w:bookmarkEnd w:id="20"/>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例如，岗位要求本科学历、学士学位、工商管理专业。</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考生G：取得英语专业本科学历、学士学位，工商管理专业肄业，该考生不能报考该岗位</w:t>
      </w:r>
      <w:r>
        <w:rPr>
          <w:rFonts w:hint="eastAsia" w:ascii="仿宋_GB2312" w:hAnsi="仿宋_GB2312" w:eastAsia="仿宋_GB2312" w:cs="仿宋_GB2312"/>
          <w:sz w:val="32"/>
          <w:szCs w:val="32"/>
        </w:rPr>
        <w:t>。</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21" w:name="_Toc70495078"/>
      <w:r>
        <w:rPr>
          <w:rFonts w:hint="eastAsia" w:ascii="楷体_GB2312" w:hAnsi="楷体_GB2312" w:eastAsia="楷体_GB2312" w:cs="楷体_GB2312"/>
          <w:b/>
          <w:sz w:val="32"/>
          <w:szCs w:val="32"/>
        </w:rPr>
        <w:t>（三）专业资格的认定</w:t>
      </w:r>
      <w:bookmarkEnd w:id="21"/>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1.将专业条件设置为“××类”的招聘岗位，报考者所学专业须符合《专业指导目录》中“××类”下所列专业；将专业条件设置为具体专业名称的，报考者所学专业须符合所列专业</w:t>
      </w:r>
      <w:r>
        <w:rPr>
          <w:rFonts w:hint="eastAsia" w:ascii="仿宋_GB2312" w:hAnsi="仿宋_GB2312" w:eastAsia="仿宋_GB2312" w:cs="仿宋_GB2312"/>
          <w:sz w:val="32"/>
          <w:szCs w:val="32"/>
        </w:rPr>
        <w:t>。</w:t>
      </w:r>
    </w:p>
    <w:p>
      <w:pPr>
        <w:shd w:val="clea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专业要求“临床医学”专业的，含“临床医学”或“临床医学硕士”或“临床医学博士”，其他专业以此类推。</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2.岗位资格条件要求“专业方向”的，报考者需提供主干课程成绩表、论文发表情况、学校证明等有效凭证（下同），由招聘单位会同区卫健局确认。</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3.若报考者所学专业不在《专业指导目录》中，报考者须提供学历证、学位证、主干课程成绩表、论文发表情况、学校证明等有效凭证，由招聘单位会同主管部门、区人社局认定。报考者所学专业只字不差体现在《专业指导目录》中，但未列入招聘岗位所要求的专业，不得报考该岗位。</w:t>
      </w:r>
    </w:p>
    <w:p>
      <w:pPr>
        <w:shd w:val="clear"/>
        <w:snapToGrid w:val="0"/>
        <w:spacing w:line="560" w:lineRule="exact"/>
        <w:ind w:firstLine="640" w:firstLineChars="200"/>
        <w:outlineLvl w:val="0"/>
        <w:rPr>
          <w:rFonts w:ascii="黑体" w:hAnsi="黑体" w:eastAsia="黑体" w:cs="黑体"/>
          <w:sz w:val="32"/>
          <w:szCs w:val="32"/>
        </w:rPr>
      </w:pPr>
      <w:bookmarkStart w:id="22" w:name="_Toc70495079"/>
      <w:r>
        <w:rPr>
          <w:rFonts w:hint="eastAsia" w:ascii="黑体" w:hAnsi="黑体" w:eastAsia="黑体" w:cs="黑体"/>
          <w:sz w:val="32"/>
          <w:szCs w:val="32"/>
        </w:rPr>
        <w:t>七、工作经验</w:t>
      </w:r>
      <w:bookmarkEnd w:id="22"/>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岗位资格条件要求的“专业工作经验”，应聘人员须提供养老保险缴费凭证或工资发放表等有效凭证、聘用</w:t>
      </w:r>
      <w:r>
        <w:rPr>
          <w:rFonts w:ascii="仿宋_GB2312" w:eastAsia="仿宋_GB2312"/>
          <w:sz w:val="32"/>
          <w:szCs w:val="32"/>
        </w:rPr>
        <w:t>(</w:t>
      </w:r>
      <w:r>
        <w:rPr>
          <w:rFonts w:hint="eastAsia" w:ascii="仿宋_GB2312" w:eastAsia="仿宋_GB2312"/>
          <w:sz w:val="32"/>
          <w:szCs w:val="32"/>
        </w:rPr>
        <w:t>劳动</w:t>
      </w:r>
      <w:r>
        <w:rPr>
          <w:rFonts w:ascii="仿宋_GB2312" w:eastAsia="仿宋_GB2312"/>
          <w:sz w:val="32"/>
          <w:szCs w:val="32"/>
        </w:rPr>
        <w:t>)</w:t>
      </w:r>
      <w:r>
        <w:rPr>
          <w:rFonts w:hint="eastAsia" w:ascii="仿宋_GB2312" w:eastAsia="仿宋_GB2312"/>
          <w:sz w:val="32"/>
          <w:szCs w:val="32"/>
        </w:rPr>
        <w:t>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全日制普通教育期间的实习、社会实践经历(含兼职工作等)，不能视为工作经验。</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岗位资格条件要求的工作经验年限可以分段按月合并计算。不同单位的相同（似）工作经验证明可分别开具，累计计算。</w:t>
      </w:r>
    </w:p>
    <w:p>
      <w:pPr>
        <w:shd w:val="clear"/>
        <w:snapToGrid w:val="0"/>
        <w:spacing w:line="560" w:lineRule="exact"/>
        <w:ind w:firstLine="640" w:firstLineChars="200"/>
        <w:outlineLvl w:val="1"/>
        <w:rPr>
          <w:rFonts w:ascii="楷体_GB2312" w:hAnsi="楷体_GB2312" w:eastAsia="楷体_GB2312" w:cs="楷体_GB2312"/>
          <w:sz w:val="32"/>
          <w:szCs w:val="32"/>
        </w:rPr>
      </w:pPr>
      <w:bookmarkStart w:id="23" w:name="_Toc70495080"/>
      <w:r>
        <w:rPr>
          <w:rFonts w:hint="eastAsia" w:ascii="黑体" w:hAnsi="黑体" w:eastAsia="黑体" w:cs="黑体"/>
          <w:sz w:val="32"/>
          <w:szCs w:val="32"/>
        </w:rPr>
        <w:t>八、可免笔试情形</w:t>
      </w:r>
      <w:bookmarkEnd w:id="23"/>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当岗位符合条件的报名人数（指通过网上报名资格审核的人数，下同）与拟聘用人数比例超过5:1（不含5:1）时，所有报考人员均须参加笔试。</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免笔试岗位由招聘单位及其主管部门于报名结束后，根据具体情况及时</w:t>
      </w:r>
      <w:r>
        <w:rPr>
          <w:rFonts w:hint="eastAsia" w:ascii="仿宋_GB2312" w:hAnsi="仿宋_GB2312" w:eastAsia="仿宋_GB2312" w:cs="仿宋_GB2312"/>
          <w:sz w:val="32"/>
          <w:szCs w:val="32"/>
        </w:rPr>
        <w:t>研究提出，经区人社局同意并事前报备市人社局</w:t>
      </w:r>
      <w:r>
        <w:rPr>
          <w:rFonts w:hint="eastAsia" w:ascii="仿宋_GB2312" w:eastAsia="仿宋_GB2312"/>
          <w:sz w:val="32"/>
          <w:szCs w:val="32"/>
        </w:rPr>
        <w:t>。</w:t>
      </w:r>
    </w:p>
    <w:p>
      <w:pPr>
        <w:shd w:val="clear"/>
        <w:snapToGrid w:val="0"/>
        <w:spacing w:line="560" w:lineRule="exact"/>
        <w:ind w:firstLine="640" w:firstLineChars="200"/>
        <w:outlineLvl w:val="1"/>
        <w:rPr>
          <w:rFonts w:ascii="黑体" w:hAnsi="黑体" w:eastAsia="黑体" w:cs="黑体"/>
          <w:sz w:val="32"/>
          <w:szCs w:val="32"/>
        </w:rPr>
      </w:pPr>
      <w:bookmarkStart w:id="24" w:name="_Toc70495082"/>
      <w:r>
        <w:rPr>
          <w:rFonts w:hint="eastAsia" w:ascii="黑体" w:hAnsi="黑体" w:eastAsia="黑体" w:cs="黑体"/>
          <w:sz w:val="32"/>
          <w:szCs w:val="32"/>
        </w:rPr>
        <w:t>九、岗位开考比例</w:t>
      </w:r>
      <w:bookmarkEnd w:id="24"/>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符合岗位资格条件的报名人数与岗位拟聘人数比例达不到3:1的，原则上应相应减少招聘人数或取消开考。</w:t>
      </w:r>
    </w:p>
    <w:p>
      <w:pPr>
        <w:shd w:val="clea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按要求取消开考、减少招聘人数的岗位由招聘单位及其主管部门研究提出意见，经区人社局同意并报备市人社局</w:t>
      </w:r>
      <w:r>
        <w:rPr>
          <w:rFonts w:hint="eastAsia" w:ascii="仿宋_GB2312" w:eastAsia="仿宋_GB2312"/>
          <w:sz w:val="32"/>
          <w:szCs w:val="32"/>
        </w:rPr>
        <w:t>。</w:t>
      </w:r>
      <w:r>
        <w:rPr>
          <w:rFonts w:hint="eastAsia" w:ascii="仿宋_GB2312" w:hAnsi="仿宋_GB2312" w:eastAsia="仿宋_GB2312" w:cs="仿宋_GB2312"/>
          <w:sz w:val="32"/>
          <w:szCs w:val="32"/>
        </w:rPr>
        <w:t>情况特殊确需降低开考比例的岗位，由招聘单位及其主管部门研究提出意见，经区人社局同意并报市人社局批准。上述岗位开考情况将及时在“网上考务信息</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”另行公告。</w:t>
      </w:r>
    </w:p>
    <w:p>
      <w:pPr>
        <w:shd w:val="clear"/>
        <w:snapToGrid w:val="0"/>
        <w:spacing w:line="560" w:lineRule="exact"/>
        <w:ind w:firstLine="640" w:firstLineChars="200"/>
        <w:outlineLvl w:val="0"/>
        <w:rPr>
          <w:rFonts w:ascii="黑体" w:hAnsi="黑体" w:eastAsia="黑体" w:cs="黑体"/>
          <w:sz w:val="32"/>
          <w:szCs w:val="32"/>
        </w:rPr>
      </w:pPr>
      <w:bookmarkStart w:id="25" w:name="_Toc70495084"/>
      <w:r>
        <w:rPr>
          <w:rFonts w:hint="eastAsia" w:ascii="黑体" w:hAnsi="黑体" w:eastAsia="黑体" w:cs="黑体"/>
          <w:sz w:val="32"/>
          <w:szCs w:val="32"/>
        </w:rPr>
        <w:t>十、笔试加分</w:t>
      </w:r>
      <w:bookmarkEnd w:id="25"/>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26" w:name="_Toc70495085"/>
      <w:r>
        <w:rPr>
          <w:rFonts w:hint="eastAsia" w:ascii="楷体_GB2312" w:hAnsi="楷体_GB2312" w:eastAsia="楷体_GB2312" w:cs="楷体_GB2312"/>
          <w:b/>
          <w:sz w:val="32"/>
          <w:szCs w:val="32"/>
        </w:rPr>
        <w:t>（一）加分原则</w:t>
      </w:r>
      <w:bookmarkEnd w:id="26"/>
    </w:p>
    <w:p>
      <w:pPr>
        <w:shd w:val="clear"/>
        <w:spacing w:line="560" w:lineRule="exact"/>
        <w:ind w:firstLine="640" w:firstLineChars="200"/>
        <w:rPr>
          <w:rFonts w:ascii="仿宋_GB2312" w:eastAsia="仿宋_GB2312"/>
          <w:sz w:val="32"/>
          <w:szCs w:val="32"/>
        </w:rPr>
      </w:pPr>
      <w:bookmarkStart w:id="27" w:name="_Toc70495086"/>
      <w:r>
        <w:rPr>
          <w:rFonts w:hint="eastAsia" w:ascii="仿宋_GB2312" w:eastAsia="仿宋_GB2312"/>
          <w:sz w:val="32"/>
          <w:szCs w:val="32"/>
        </w:rPr>
        <w:t>笔试成绩=笔试卷面分+各项加分。</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加分仅限于笔试卷面分，免笔试人员在面试环节不享受加分。加分不受笔试满分限制。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曾通过享受政策待遇被录（聘）为公务员或事业单位编内工作人员的，不再享受报考事业单位加分和专门岗位招考优惠政策。</w:t>
      </w:r>
    </w:p>
    <w:bookmarkEnd w:id="27"/>
    <w:p>
      <w:pPr>
        <w:shd w:val="clear"/>
        <w:snapToGrid w:val="0"/>
        <w:spacing w:line="560" w:lineRule="exact"/>
        <w:ind w:firstLine="643" w:firstLineChars="200"/>
        <w:outlineLvl w:val="1"/>
        <w:rPr>
          <w:rFonts w:ascii="楷体_GB2312" w:hAnsi="楷体_GB2312" w:eastAsia="楷体_GB2312" w:cs="楷体_GB2312"/>
          <w:b/>
          <w:sz w:val="32"/>
          <w:szCs w:val="32"/>
        </w:rPr>
      </w:pPr>
      <w:bookmarkStart w:id="28" w:name="_Toc7546"/>
      <w:bookmarkStart w:id="29" w:name="_Toc70495091"/>
      <w:r>
        <w:rPr>
          <w:rFonts w:hint="eastAsia" w:ascii="楷体_GB2312" w:hAnsi="楷体_GB2312" w:eastAsia="楷体_GB2312" w:cs="楷体_GB2312"/>
          <w:b/>
          <w:sz w:val="32"/>
          <w:szCs w:val="32"/>
        </w:rPr>
        <w:t>（二）加分对象</w:t>
      </w:r>
      <w:bookmarkEnd w:id="28"/>
    </w:p>
    <w:p>
      <w:pPr>
        <w:shd w:val="clear"/>
        <w:spacing w:line="560" w:lineRule="exact"/>
        <w:ind w:firstLine="640" w:firstLineChars="200"/>
        <w:rPr>
          <w:rFonts w:ascii="仿宋_GB2312" w:eastAsia="仿宋_GB2312"/>
          <w:strike/>
          <w:sz w:val="32"/>
          <w:szCs w:val="32"/>
        </w:rPr>
      </w:pPr>
      <w:r>
        <w:rPr>
          <w:rFonts w:hint="eastAsia" w:ascii="仿宋_GB2312" w:eastAsia="仿宋_GB2312"/>
          <w:sz w:val="32"/>
          <w:szCs w:val="32"/>
        </w:rPr>
        <w:t>经报名资格审核通过并符合以下加分政策的报考人员可享受笔试加分待遇：</w:t>
      </w:r>
    </w:p>
    <w:p>
      <w:pPr>
        <w:shd w:val="clear"/>
        <w:spacing w:line="560" w:lineRule="exact"/>
        <w:ind w:firstLine="643" w:firstLineChars="200"/>
        <w:outlineLvl w:val="2"/>
        <w:rPr>
          <w:rFonts w:ascii="仿宋_GB2312" w:hAnsi="仿宋_GB2312" w:eastAsia="仿宋_GB2312" w:cs="仿宋_GB2312"/>
          <w:b/>
          <w:bCs/>
          <w:sz w:val="32"/>
          <w:szCs w:val="32"/>
        </w:rPr>
      </w:pPr>
      <w:bookmarkStart w:id="30" w:name="_Toc15632"/>
      <w:bookmarkStart w:id="31" w:name="_Toc10848"/>
      <w:bookmarkStart w:id="32" w:name="_Toc9822"/>
      <w:bookmarkStart w:id="33" w:name="_Toc13976"/>
      <w:bookmarkStart w:id="34" w:name="_Toc9098"/>
      <w:bookmarkStart w:id="35" w:name="_Toc17898"/>
      <w:r>
        <w:rPr>
          <w:rFonts w:hint="eastAsia" w:ascii="仿宋_GB2312" w:hAnsi="仿宋_GB2312" w:eastAsia="仿宋_GB2312" w:cs="仿宋_GB2312"/>
          <w:b/>
          <w:bCs/>
          <w:sz w:val="32"/>
          <w:szCs w:val="32"/>
        </w:rPr>
        <w:t>1.服务基层项目高校毕业人员</w:t>
      </w:r>
      <w:bookmarkEnd w:id="30"/>
      <w:bookmarkEnd w:id="31"/>
      <w:bookmarkEnd w:id="32"/>
      <w:bookmarkEnd w:id="33"/>
      <w:bookmarkEnd w:id="34"/>
      <w:bookmarkEnd w:id="35"/>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参加国家和福建省组织实施的“三支一扶”计划、“志愿服务西部计划”（含研究生支教团）、“志愿服务欠发达地区计划”、“服务社区计划”等，服务期限为1年及以上且于2024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当年服务行将期满考核合格和服务期满考核合格的“乡村振兴计划”大学生志愿者，报考市属事业单位笔试卷面分加3分，报考区属事业单位笔试卷面分加5分。</w:t>
      </w:r>
    </w:p>
    <w:p>
      <w:pPr>
        <w:shd w:val="clear"/>
        <w:spacing w:line="560" w:lineRule="exact"/>
        <w:ind w:firstLine="643" w:firstLineChars="200"/>
        <w:outlineLvl w:val="2"/>
        <w:rPr>
          <w:rFonts w:ascii="仿宋_GB2312" w:hAnsi="仿宋_GB2312" w:eastAsia="仿宋_GB2312" w:cs="仿宋_GB2312"/>
          <w:b/>
          <w:bCs/>
          <w:sz w:val="32"/>
          <w:szCs w:val="32"/>
        </w:rPr>
      </w:pPr>
      <w:bookmarkStart w:id="36" w:name="_Toc1747"/>
      <w:bookmarkStart w:id="37" w:name="_Toc24980"/>
      <w:bookmarkStart w:id="38" w:name="_Toc22049"/>
      <w:bookmarkStart w:id="39" w:name="_Toc3463"/>
      <w:bookmarkStart w:id="40" w:name="_Toc17686"/>
      <w:bookmarkStart w:id="41" w:name="_Toc12368"/>
      <w:r>
        <w:rPr>
          <w:rFonts w:hint="eastAsia" w:ascii="仿宋_GB2312" w:hAnsi="仿宋_GB2312" w:eastAsia="仿宋_GB2312" w:cs="仿宋_GB2312"/>
          <w:b/>
          <w:bCs/>
          <w:sz w:val="32"/>
          <w:szCs w:val="32"/>
        </w:rPr>
        <w:t>2.退役士兵（含大学生退役士兵）</w:t>
      </w:r>
      <w:bookmarkEnd w:id="36"/>
      <w:bookmarkEnd w:id="37"/>
      <w:bookmarkEnd w:id="38"/>
      <w:bookmarkEnd w:id="39"/>
      <w:bookmarkEnd w:id="40"/>
      <w:bookmarkEnd w:id="41"/>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shd w:val="clear"/>
        <w:spacing w:line="560" w:lineRule="exact"/>
        <w:ind w:firstLine="643" w:firstLineChars="200"/>
        <w:outlineLvl w:val="2"/>
        <w:rPr>
          <w:rFonts w:ascii="仿宋_GB2312" w:hAnsi="仿宋_GB2312" w:eastAsia="仿宋_GB2312" w:cs="仿宋_GB2312"/>
          <w:b/>
          <w:bCs/>
          <w:sz w:val="32"/>
          <w:szCs w:val="32"/>
        </w:rPr>
      </w:pPr>
      <w:bookmarkStart w:id="42" w:name="_Toc15434"/>
      <w:bookmarkStart w:id="43" w:name="_Toc4274"/>
      <w:bookmarkStart w:id="44" w:name="_Toc31915"/>
      <w:bookmarkStart w:id="45" w:name="_Toc5502"/>
      <w:r>
        <w:rPr>
          <w:rFonts w:hint="eastAsia" w:ascii="仿宋_GB2312" w:hAnsi="仿宋_GB2312" w:eastAsia="仿宋_GB2312" w:cs="仿宋_GB2312"/>
          <w:b/>
          <w:bCs/>
          <w:sz w:val="32"/>
          <w:szCs w:val="32"/>
        </w:rPr>
        <w:t>3.退役优秀运动员</w:t>
      </w:r>
      <w:bookmarkEnd w:id="42"/>
      <w:bookmarkEnd w:id="43"/>
      <w:bookmarkEnd w:id="44"/>
      <w:bookmarkEnd w:id="45"/>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46" w:name="_Toc30306"/>
      <w:bookmarkStart w:id="47" w:name="_Toc31427"/>
      <w:r>
        <w:rPr>
          <w:rFonts w:hint="eastAsia" w:ascii="楷体_GB2312" w:hAnsi="楷体_GB2312" w:eastAsia="楷体_GB2312" w:cs="楷体_GB2312"/>
          <w:b/>
          <w:sz w:val="32"/>
          <w:szCs w:val="32"/>
        </w:rPr>
        <w:t>（三）加分证明材料</w:t>
      </w:r>
      <w:bookmarkEnd w:id="46"/>
      <w:bookmarkEnd w:id="47"/>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符合加分政策的报考人员须在网上报名时如实填报，并于报名期间主动向招聘单位沟通提交以下加分证明材料（提交方式请与招聘单位联系人联系），否则视为放弃享受加分政策：</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3.符合加分政策的我市退役优秀运动员可持相应奖项证书前往厦门市体育局人事处开具证明材料(联系电话0592-5339322)。</w:t>
      </w:r>
    </w:p>
    <w:p>
      <w:pPr>
        <w:shd w:val="clea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十一、综合总分计算</w:t>
      </w:r>
      <w:bookmarkEnd w:id="29"/>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综合总分合格线为60分，其中：</w:t>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（一）免笔试参加面试的：综合总分=面试成绩。</w:t>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（二）有笔试和面试的：综合总分=笔试成绩×50%+面试成绩×50%。</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笔试成绩、面试成绩、综合总分均采用四舍五入方式取小数点后2位（必要时可增加小数点位数）。对于综合总分相同者，按以下顺序进一步确定名次排列：</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（一）按笔试成绩从高到低排列；</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（二）若笔试成绩相同，按面试实际成绩（追溯小数点位数）从高到低排列；</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（三）若面试成绩依然相同，符合国家、福建省或厦门市文件规定优先对象的，优先进入体检环节。若无优先对象，由面试组织部门重新组织面试，按成绩从高到低确定体检人选。</w:t>
      </w:r>
    </w:p>
    <w:p>
      <w:pPr>
        <w:shd w:val="clear"/>
        <w:snapToGrid w:val="0"/>
        <w:spacing w:line="560" w:lineRule="exact"/>
        <w:ind w:firstLine="640" w:firstLineChars="200"/>
        <w:outlineLvl w:val="0"/>
        <w:rPr>
          <w:rFonts w:ascii="黑体" w:hAnsi="黑体" w:eastAsia="黑体" w:cs="黑体"/>
          <w:sz w:val="32"/>
          <w:szCs w:val="32"/>
        </w:rPr>
      </w:pPr>
      <w:bookmarkStart w:id="48" w:name="_Toc70495092"/>
      <w:r>
        <w:rPr>
          <w:rFonts w:hint="eastAsia" w:ascii="黑体" w:hAnsi="黑体" w:eastAsia="黑体" w:cs="黑体"/>
          <w:sz w:val="32"/>
          <w:szCs w:val="32"/>
        </w:rPr>
        <w:t>十二、体检和考察</w:t>
      </w:r>
      <w:bookmarkEnd w:id="48"/>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49" w:name="_Toc70495093"/>
      <w:r>
        <w:rPr>
          <w:rFonts w:hint="eastAsia" w:ascii="楷体_GB2312" w:hAnsi="楷体_GB2312" w:eastAsia="楷体_GB2312" w:cs="楷体_GB2312"/>
          <w:b/>
          <w:sz w:val="32"/>
          <w:szCs w:val="32"/>
        </w:rPr>
        <w:t>（一）确定体检人选</w:t>
      </w:r>
      <w:bookmarkEnd w:id="49"/>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从笔试、面试和综合总分均合格者中，根据综合总分排名顺序，按岗位拟招聘人数1:1的比例从高分至低分确定体检人选。</w:t>
      </w:r>
    </w:p>
    <w:p>
      <w:pPr>
        <w:shd w:val="clea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体检对象属于机关事业单位在编人员或国有企业在职人员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50" w:name="_Toc70495094"/>
      <w:r>
        <w:rPr>
          <w:rFonts w:hint="eastAsia" w:ascii="楷体_GB2312" w:hAnsi="楷体_GB2312" w:eastAsia="楷体_GB2312" w:cs="楷体_GB2312"/>
          <w:b/>
          <w:sz w:val="32"/>
          <w:szCs w:val="32"/>
        </w:rPr>
        <w:t>（二）组织体检</w:t>
      </w:r>
      <w:bookmarkEnd w:id="50"/>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体检由区人社局统一组织。</w:t>
      </w:r>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体检人员应根据通知按时参加并配合体检，否则，视为放弃资格。</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51" w:name="_Toc70495095"/>
      <w:r>
        <w:rPr>
          <w:rFonts w:hint="eastAsia" w:ascii="楷体_GB2312" w:hAnsi="楷体_GB2312" w:eastAsia="楷体_GB2312" w:cs="楷体_GB2312"/>
          <w:b/>
          <w:sz w:val="32"/>
          <w:szCs w:val="32"/>
        </w:rPr>
        <w:t>（三）体检依据</w:t>
      </w:r>
      <w:bookmarkEnd w:id="51"/>
    </w:p>
    <w:p>
      <w:pPr>
        <w:shd w:val="clear"/>
        <w:spacing w:line="560" w:lineRule="exact"/>
        <w:ind w:firstLine="640" w:firstLineChars="200"/>
        <w:rPr>
          <w:rFonts w:ascii="仿宋_GB2312" w:eastAsia="仿宋_GB2312"/>
          <w:sz w:val="32"/>
          <w:szCs w:val="32"/>
        </w:rPr>
      </w:pPr>
      <w:bookmarkStart w:id="52" w:name="_Toc70495096"/>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体检医院由区人社局根据要求指定。具体检测方法由体检医院结合实际确定，体检结论以体检医院出具的体检报告为准。</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从事放射岗位人员还需根据《放射工作人员职业健康监护技术规范》（卫通[2011]2号）完成岗前必检项目的体检。</w:t>
      </w:r>
    </w:p>
    <w:p>
      <w:pPr>
        <w:shd w:val="clea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（四）体检复检</w:t>
      </w:r>
      <w:bookmarkEnd w:id="52"/>
    </w:p>
    <w:p>
      <w:pPr>
        <w:shd w:val="clear"/>
        <w:spacing w:line="560" w:lineRule="exact"/>
        <w:ind w:firstLine="640" w:firstLineChars="200"/>
        <w:rPr>
          <w:rFonts w:ascii="仿宋_GB2312" w:eastAsia="仿宋_GB2312"/>
          <w:sz w:val="32"/>
          <w:szCs w:val="32"/>
        </w:rPr>
      </w:pPr>
      <w:bookmarkStart w:id="53" w:name="_Toc70495099"/>
      <w:r>
        <w:rPr>
          <w:rFonts w:hint="eastAsia" w:ascii="仿宋_GB2312" w:eastAsia="仿宋_GB2312"/>
          <w:sz w:val="32"/>
          <w:szCs w:val="32"/>
        </w:rPr>
        <w:t>复检参照人力资源社会保障部、卫生部、国家公务员局《关于进一步做好公务员考试录用体检工作的通知》(人社部发〔2012〕65号)的有关规定执行，其中：</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1.对心率、视力、听力、血压等项目达不到体检合格标准的，安排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3.组织体检单位对体检结论有疑问的，在接到体检结论通知之日起7日内决定是否进行复检。</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54" w:name="_Toc680"/>
      <w:r>
        <w:rPr>
          <w:rFonts w:hint="eastAsia" w:ascii="楷体_GB2312" w:hAnsi="楷体_GB2312" w:eastAsia="楷体_GB2312" w:cs="楷体_GB2312"/>
          <w:b/>
          <w:sz w:val="32"/>
          <w:szCs w:val="32"/>
        </w:rPr>
        <w:t>（五）可延迟体检的情形</w:t>
      </w:r>
      <w:bookmarkEnd w:id="54"/>
    </w:p>
    <w:p>
      <w:pPr>
        <w:shd w:val="clear"/>
        <w:spacing w:line="560" w:lineRule="exact"/>
        <w:ind w:firstLine="640" w:firstLineChars="200"/>
        <w:outlineLvl w:val="1"/>
        <w:rPr>
          <w:rFonts w:ascii="仿宋_GB2312" w:eastAsia="仿宋_GB2312"/>
          <w:sz w:val="32"/>
          <w:szCs w:val="32"/>
        </w:rPr>
      </w:pPr>
      <w:bookmarkStart w:id="55" w:name="_Toc14893"/>
      <w:bookmarkStart w:id="56" w:name="_Toc5902"/>
      <w:bookmarkStart w:id="57" w:name="_Toc1064617349"/>
      <w:r>
        <w:rPr>
          <w:rFonts w:hint="eastAsia" w:ascii="仿宋_GB2312" w:eastAsia="仿宋_GB2312"/>
          <w:sz w:val="32"/>
          <w:szCs w:val="32"/>
        </w:rPr>
        <w:t>女性报考者因怀孕不能进入体检的，招聘单位及其主管部门应对其延期体检，并与报考者约定延缓体检的最长期限。</w:t>
      </w:r>
      <w:bookmarkEnd w:id="55"/>
      <w:bookmarkEnd w:id="56"/>
      <w:bookmarkEnd w:id="57"/>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58" w:name="_Toc11889"/>
      <w:r>
        <w:rPr>
          <w:rFonts w:hint="eastAsia" w:ascii="楷体_GB2312" w:hAnsi="楷体_GB2312" w:eastAsia="楷体_GB2312" w:cs="楷体_GB2312"/>
          <w:b/>
          <w:sz w:val="32"/>
          <w:szCs w:val="32"/>
        </w:rPr>
        <w:t>（六）考察</w:t>
      </w:r>
      <w:bookmarkEnd w:id="58"/>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shd w:val="clear"/>
        <w:snapToGri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考察工作前，通过中国执行信息公开网（http://zxgk.court.gov.cn/）核实考察对象有无失信被执行的情况。被依法列为失信联合惩戒对象的，不得报考或或取消报考（聘用）资格。</w:t>
      </w:r>
    </w:p>
    <w:p>
      <w:pPr>
        <w:shd w:val="clea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十三、公示</w:t>
      </w:r>
      <w:bookmarkEnd w:id="53"/>
    </w:p>
    <w:p>
      <w:pPr>
        <w:shd w:val="clea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eastAsia="仿宋_GB2312"/>
          <w:sz w:val="32"/>
          <w:szCs w:val="32"/>
        </w:rPr>
        <w:t>岗位要求以及考试、体检、考察结果，确定拟聘用人员名单，并在翔安区政府网（</w:t>
      </w:r>
      <w:r>
        <w:rPr>
          <w:rFonts w:hint="eastAsia" w:ascii="仿宋_GB2312" w:hAnsi="仿宋_GB2312" w:eastAsia="仿宋_GB2312" w:cs="仿宋_GB2312"/>
          <w:sz w:val="32"/>
          <w:szCs w:val="32"/>
        </w:rPr>
        <w:t>网址：</w:t>
      </w:r>
      <w:r>
        <w:rPr>
          <w:u w:val="none"/>
        </w:rPr>
        <w:fldChar w:fldCharType="begin"/>
      </w:r>
      <w:r>
        <w:rPr>
          <w:u w:val="none"/>
        </w:rPr>
        <w:instrText xml:space="preserve"> HYPERLINK "http://http://www.xiangan.gov.cn/" </w:instrText>
      </w:r>
      <w:r>
        <w:rPr>
          <w:u w:val="none"/>
        </w:rPr>
        <w:fldChar w:fldCharType="separate"/>
      </w:r>
      <w:r>
        <w:rPr>
          <w:rStyle w:val="13"/>
          <w:rFonts w:hint="eastAsia" w:ascii="仿宋_GB2312" w:hAnsi="仿宋_GB2312" w:eastAsia="仿宋_GB2312" w:cs="仿宋_GB2312"/>
          <w:color w:val="auto"/>
          <w:sz w:val="32"/>
          <w:szCs w:val="32"/>
          <w:u w:val="none"/>
        </w:rPr>
        <w:t>http:// www.xiangan.gov.cn/</w:t>
      </w:r>
      <w:r>
        <w:rPr>
          <w:rStyle w:val="13"/>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w:t>
      </w:r>
      <w:r>
        <w:rPr>
          <w:rFonts w:hint="eastAsia" w:ascii="仿宋_GB2312" w:eastAsia="仿宋_GB2312"/>
          <w:sz w:val="32"/>
          <w:szCs w:val="32"/>
        </w:rPr>
        <w:t>公示7</w:t>
      </w:r>
      <w:r>
        <w:rPr>
          <w:rFonts w:hint="eastAsia" w:ascii="仿宋_GB2312" w:hAnsi="仿宋_GB2312" w:eastAsia="仿宋_GB2312" w:cs="仿宋_GB2312"/>
          <w:sz w:val="32"/>
          <w:szCs w:val="32"/>
        </w:rPr>
        <w:t>个工作日。公示内容包括招聘单位名称、招聘岗位、拟聘人员基本信息等。</w:t>
      </w:r>
    </w:p>
    <w:p>
      <w:pPr>
        <w:shd w:val="clea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对未取得有关证书的人员（如2024届高校毕业生、服务基层项目高校毕业生等）可先予以公示，在规定时限内（详见《报考须知》）提供相应证书后，再办理聘用手续。</w:t>
      </w:r>
    </w:p>
    <w:p>
      <w:pPr>
        <w:shd w:val="clear"/>
        <w:snapToGrid w:val="0"/>
        <w:spacing w:line="560" w:lineRule="exact"/>
        <w:ind w:firstLine="640" w:firstLineChars="200"/>
        <w:outlineLvl w:val="0"/>
        <w:rPr>
          <w:rFonts w:ascii="黑体" w:hAnsi="黑体" w:eastAsia="黑体" w:cs="黑体"/>
          <w:sz w:val="32"/>
          <w:szCs w:val="32"/>
        </w:rPr>
      </w:pPr>
      <w:bookmarkStart w:id="59" w:name="_Toc70495100"/>
      <w:r>
        <w:rPr>
          <w:rFonts w:hint="eastAsia" w:ascii="黑体" w:hAnsi="黑体" w:eastAsia="黑体" w:cs="黑体"/>
          <w:sz w:val="32"/>
          <w:szCs w:val="32"/>
        </w:rPr>
        <w:t>十四、聘用</w:t>
      </w:r>
      <w:bookmarkEnd w:id="59"/>
      <w:r>
        <w:rPr>
          <w:rFonts w:hint="eastAsia" w:ascii="黑体" w:hAnsi="黑体" w:eastAsia="黑体" w:cs="黑体"/>
          <w:sz w:val="32"/>
          <w:szCs w:val="32"/>
        </w:rPr>
        <w:t>办理</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60" w:name="_Toc3099"/>
      <w:r>
        <w:rPr>
          <w:rFonts w:hint="eastAsia" w:ascii="楷体_GB2312" w:hAnsi="楷体_GB2312" w:eastAsia="楷体_GB2312" w:cs="楷体_GB2312"/>
          <w:b/>
          <w:sz w:val="32"/>
          <w:szCs w:val="32"/>
        </w:rPr>
        <w:t>（一）聘用手续办理</w:t>
      </w:r>
      <w:bookmarkEnd w:id="60"/>
    </w:p>
    <w:p>
      <w:pPr>
        <w:shd w:val="clear"/>
        <w:spacing w:line="560" w:lineRule="exact"/>
        <w:ind w:firstLine="640" w:firstLineChars="200"/>
        <w:rPr>
          <w:rFonts w:ascii="仿宋_GB2312" w:eastAsia="仿宋_GB2312"/>
          <w:sz w:val="32"/>
          <w:szCs w:val="32"/>
        </w:rPr>
      </w:pPr>
      <w:bookmarkStart w:id="61" w:name="_Toc9234"/>
      <w:r>
        <w:rPr>
          <w:rFonts w:hint="eastAsia" w:ascii="仿宋_GB2312" w:eastAsia="仿宋_GB2312"/>
          <w:sz w:val="32"/>
          <w:szCs w:val="32"/>
        </w:rPr>
        <w:t>公示结果无异议，或经招聘单位会同主管部门核实不影响聘用的，拟聘人员应于公示期满后3个月内提供办理聘用手续所需的材料（含个人人事档案），因情况确实特殊、无法在上述期限内提供完备材料的，与招聘单位及其主管部门协商同意并书面承诺后可适当延长材料提交时限（延长时限原则上不超过2个月），否则视为放弃聘用资格。</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（二）岗位聘任</w:t>
      </w:r>
      <w:bookmarkEnd w:id="61"/>
    </w:p>
    <w:p>
      <w:pPr>
        <w:shd w:val="clear"/>
        <w:spacing w:line="560" w:lineRule="exact"/>
        <w:ind w:firstLine="640" w:firstLineChars="200"/>
        <w:rPr>
          <w:rFonts w:ascii="仿宋_GB2312" w:hAnsi="宋体" w:eastAsia="仿宋_GB2312"/>
          <w:sz w:val="32"/>
          <w:szCs w:val="32"/>
        </w:rPr>
      </w:pPr>
      <w:bookmarkStart w:id="62" w:name="_Toc70495103"/>
      <w:r>
        <w:rPr>
          <w:rFonts w:hint="eastAsia" w:ascii="仿宋_GB2312" w:hAnsi="宋体" w:eastAsia="仿宋_GB2312"/>
          <w:sz w:val="32"/>
          <w:szCs w:val="32"/>
        </w:rPr>
        <w:t>1.岗位编制类型为人员控制总量的，属于招聘单位人员控制总量内聘用工作人员，执行统一的事业单位人事管理制度，享受在编人员同等待遇。</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shd w:val="clea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3.本次招聘的聘用人员将按有关规定实行试用期，试用期包括在聘用期内，试用期满考核不合格的予以解聘。</w:t>
      </w:r>
    </w:p>
    <w:p>
      <w:pPr>
        <w:shd w:val="clea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十五、</w:t>
      </w:r>
      <w:bookmarkEnd w:id="62"/>
      <w:r>
        <w:rPr>
          <w:rFonts w:hint="eastAsia" w:ascii="黑体" w:hAnsi="黑体" w:eastAsia="黑体" w:cs="黑体"/>
          <w:sz w:val="32"/>
          <w:szCs w:val="32"/>
        </w:rPr>
        <w:t>其他需说明事项</w:t>
      </w:r>
    </w:p>
    <w:p>
      <w:pPr>
        <w:numPr>
          <w:ilvl w:val="0"/>
          <w:numId w:val="1"/>
        </w:numPr>
        <w:shd w:val="clear"/>
        <w:spacing w:line="560" w:lineRule="exact"/>
        <w:outlineLvl w:val="1"/>
        <w:rPr>
          <w:rFonts w:ascii="仿宋_GB2312" w:eastAsia="仿宋_GB2312"/>
          <w:b/>
          <w:strike/>
          <w:sz w:val="32"/>
          <w:szCs w:val="32"/>
        </w:rPr>
      </w:pPr>
      <w:bookmarkStart w:id="63" w:name="_Toc29122"/>
      <w:bookmarkStart w:id="64" w:name="_Toc23154"/>
      <w:bookmarkStart w:id="65" w:name="_Toc70495109"/>
      <w:r>
        <w:rPr>
          <w:rFonts w:hint="eastAsia" w:ascii="楷体" w:hAnsi="楷体" w:eastAsia="楷体"/>
          <w:b/>
          <w:sz w:val="32"/>
          <w:szCs w:val="32"/>
        </w:rPr>
        <w:t>职称</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岗位资格条件要求的职称是指经社会化评审、全国统一考试或考核确认等方式取得的专业技术职务任职资格，不含通过非公有制企业职称评审方式取得的职称。</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在资格复核时，尚未取得岗位资格条件要求的职称证书的，可提供成绩单（须证明通过考试）、评审通过文件或考核确认表等有效材料。</w:t>
      </w:r>
      <w:r>
        <w:rPr>
          <w:rFonts w:hint="eastAsia" w:ascii="仿宋_GB2312" w:hAnsi="宋体" w:eastAsia="仿宋_GB2312"/>
          <w:sz w:val="32"/>
          <w:szCs w:val="32"/>
        </w:rPr>
        <w:t>2024年</w:t>
      </w:r>
      <w:r>
        <w:rPr>
          <w:rFonts w:hint="eastAsia" w:ascii="仿宋_GB2312" w:hAnsi="宋体" w:eastAsia="仿宋_GB2312" w:cs="宋体"/>
          <w:sz w:val="32"/>
          <w:szCs w:val="32"/>
        </w:rPr>
        <w:t>毕业的医学专业“四证合一</w:t>
      </w:r>
      <w:r>
        <w:rPr>
          <w:rFonts w:hint="eastAsia" w:ascii="仿宋_GB2312" w:hAnsi="宋体" w:eastAsia="仿宋_GB2312"/>
          <w:sz w:val="32"/>
          <w:szCs w:val="32"/>
        </w:rPr>
        <w:t>”</w:t>
      </w:r>
      <w:r>
        <w:rPr>
          <w:rFonts w:hint="eastAsia" w:ascii="仿宋_GB2312" w:hAnsi="宋体" w:eastAsia="仿宋_GB2312" w:cs="宋体"/>
          <w:sz w:val="32"/>
          <w:szCs w:val="32"/>
        </w:rPr>
        <w:t>应届研究生，在符合报考岗位其他资格条件的前提下，其医师资格证书可于</w:t>
      </w:r>
      <w:r>
        <w:rPr>
          <w:rFonts w:hint="eastAsia" w:ascii="仿宋_GB2312" w:hAnsi="宋体" w:eastAsia="仿宋_GB2312"/>
          <w:sz w:val="32"/>
          <w:szCs w:val="32"/>
        </w:rPr>
        <w:t>2024年12</w:t>
      </w:r>
      <w:r>
        <w:rPr>
          <w:rFonts w:hint="eastAsia" w:ascii="仿宋_GB2312" w:hAnsi="宋体" w:eastAsia="仿宋_GB2312" w:cs="宋体"/>
          <w:sz w:val="32"/>
          <w:szCs w:val="32"/>
        </w:rPr>
        <w:t>月</w:t>
      </w:r>
      <w:r>
        <w:rPr>
          <w:rFonts w:hint="eastAsia" w:ascii="仿宋_GB2312" w:hAnsi="宋体" w:eastAsia="仿宋_GB2312"/>
          <w:sz w:val="32"/>
          <w:szCs w:val="32"/>
        </w:rPr>
        <w:t>31</w:t>
      </w:r>
      <w:r>
        <w:rPr>
          <w:rFonts w:hint="eastAsia" w:ascii="仿宋_GB2312" w:hAnsi="宋体" w:eastAsia="仿宋_GB2312" w:cs="宋体"/>
          <w:sz w:val="32"/>
          <w:szCs w:val="32"/>
        </w:rPr>
        <w:t>日前随符合岗位报考条件的学历、学位证书一并提供。</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（二）生源</w:t>
      </w:r>
      <w:bookmarkEnd w:id="63"/>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生源地为参加全国统一的普通高等学校招生考试时的户籍所在地。</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2.入学前户籍和学籍虽不在厦门市，但本次公开招聘报名截止日前父母或配偶有一方户籍在厦门市的普通教育全日制2024年应届毕业生；</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福建生源类推界定。</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66" w:name="_Toc21812"/>
      <w:r>
        <w:rPr>
          <w:rFonts w:hint="eastAsia" w:ascii="楷体_GB2312" w:hAnsi="楷体_GB2312" w:eastAsia="楷体_GB2312" w:cs="楷体_GB2312"/>
          <w:b/>
          <w:sz w:val="32"/>
          <w:szCs w:val="32"/>
        </w:rPr>
        <w:t>（三）港澳台人员</w:t>
      </w:r>
      <w:bookmarkEnd w:id="66"/>
    </w:p>
    <w:p>
      <w:pPr>
        <w:shd w:val="clear"/>
        <w:spacing w:line="560" w:lineRule="exact"/>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67" w:name="_Toc24040"/>
      <w:r>
        <w:rPr>
          <w:rFonts w:hint="eastAsia" w:ascii="楷体_GB2312" w:hAnsi="楷体_GB2312" w:eastAsia="楷体_GB2312" w:cs="楷体_GB2312"/>
          <w:b/>
          <w:sz w:val="32"/>
          <w:szCs w:val="32"/>
        </w:rPr>
        <w:t>（四）技工院校毕业生</w:t>
      </w:r>
      <w:bookmarkEnd w:id="67"/>
    </w:p>
    <w:p>
      <w:pPr>
        <w:shd w:val="clea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shd w:val="clear"/>
        <w:snapToGrid w:val="0"/>
        <w:spacing w:line="560" w:lineRule="exact"/>
        <w:ind w:firstLine="643" w:firstLineChars="200"/>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（五）</w:t>
      </w:r>
      <w:bookmarkEnd w:id="64"/>
      <w:bookmarkStart w:id="68" w:name="_Toc23840"/>
      <w:r>
        <w:rPr>
          <w:rFonts w:hint="eastAsia" w:ascii="楷体_GB2312" w:hAnsi="楷体_GB2312" w:eastAsia="楷体_GB2312" w:cs="楷体_GB2312"/>
          <w:b/>
          <w:sz w:val="32"/>
          <w:szCs w:val="32"/>
        </w:rPr>
        <w:t>规范化培训</w:t>
      </w:r>
      <w:bookmarkEnd w:id="68"/>
    </w:p>
    <w:p>
      <w:pPr>
        <w:widowControl/>
        <w:shd w:val="clear"/>
        <w:spacing w:line="560" w:lineRule="exact"/>
        <w:ind w:firstLine="620" w:firstLineChars="200"/>
      </w:pPr>
      <w:r>
        <w:rPr>
          <w:rFonts w:ascii="仿宋_GB2312" w:hAnsi="宋体" w:eastAsia="仿宋_GB2312" w:cs="仿宋_GB2312"/>
          <w:kern w:val="0"/>
          <w:sz w:val="31"/>
          <w:szCs w:val="31"/>
        </w:rPr>
        <w:t>岗位资格条件要求完成住院医师规范化培训的，是指按</w:t>
      </w:r>
      <w:r>
        <w:rPr>
          <w:rFonts w:hint="eastAsia" w:ascii="仿宋_GB2312" w:hAnsi="宋体" w:eastAsia="仿宋_GB2312" w:cs="仿宋_GB2312"/>
          <w:kern w:val="0"/>
          <w:sz w:val="31"/>
          <w:szCs w:val="31"/>
        </w:rPr>
        <w:t>照《住院医师规范化培训内容和标准（试行）》完成住院医师规范化培训</w:t>
      </w:r>
      <w:bookmarkStart w:id="70" w:name="_GoBack"/>
      <w:bookmarkEnd w:id="70"/>
      <w:r>
        <w:rPr>
          <w:rFonts w:hint="eastAsia" w:ascii="仿宋_GB2312" w:hAnsi="宋体" w:eastAsia="仿宋_GB2312" w:cs="仿宋_GB2312"/>
          <w:kern w:val="0"/>
          <w:sz w:val="31"/>
          <w:szCs w:val="31"/>
        </w:rPr>
        <w:t xml:space="preserve">内容并取得合格证书。 </w:t>
      </w:r>
    </w:p>
    <w:p>
      <w:pPr>
        <w:widowControl/>
        <w:shd w:val="clear"/>
        <w:spacing w:line="560" w:lineRule="exact"/>
        <w:ind w:firstLine="620" w:firstLineChars="200"/>
      </w:pPr>
      <w:r>
        <w:rPr>
          <w:rFonts w:hint="eastAsia" w:ascii="仿宋_GB2312" w:hAnsi="宋体" w:eastAsia="仿宋_GB2312" w:cs="仿宋_GB2312"/>
          <w:kern w:val="0"/>
          <w:sz w:val="31"/>
          <w:szCs w:val="31"/>
        </w:rPr>
        <w:t xml:space="preserve">报考者须于资格复核时提供岗位资格条件要求的规范化培训合格证书或通过考试成绩单。2024年毕业的医学专业“四证合一”应届研究生，在符合报考岗位其他资格条件的前提下，其住院医师规范化培训合格证书可于 2024年12月31日前提供。 </w:t>
      </w:r>
    </w:p>
    <w:p>
      <w:pPr>
        <w:widowControl/>
        <w:shd w:val="clear"/>
        <w:spacing w:line="560" w:lineRule="exact"/>
        <w:ind w:firstLine="620" w:firstLineChars="200"/>
        <w:rPr>
          <w:rFonts w:ascii="仿宋_GB2312" w:hAnsi="宋体" w:eastAsia="仿宋_GB2312" w:cs="仿宋_GB2312"/>
          <w:kern w:val="0"/>
          <w:sz w:val="31"/>
          <w:szCs w:val="31"/>
        </w:rPr>
      </w:pPr>
      <w:r>
        <w:rPr>
          <w:rFonts w:hint="eastAsia" w:ascii="仿宋_GB2312" w:hAnsi="宋体" w:eastAsia="仿宋_GB2312" w:cs="仿宋_GB2312"/>
          <w:kern w:val="0"/>
          <w:sz w:val="31"/>
          <w:szCs w:val="31"/>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shd w:val="clear"/>
        <w:snapToGrid w:val="0"/>
        <w:spacing w:line="560" w:lineRule="exact"/>
        <w:ind w:firstLine="643" w:firstLineChars="200"/>
        <w:outlineLvl w:val="1"/>
        <w:rPr>
          <w:rFonts w:ascii="楷体_GB2312" w:hAnsi="楷体_GB2312" w:eastAsia="楷体_GB2312" w:cs="楷体_GB2312"/>
          <w:b/>
          <w:sz w:val="32"/>
          <w:szCs w:val="32"/>
        </w:rPr>
      </w:pPr>
      <w:bookmarkStart w:id="69" w:name="_Toc15409"/>
      <w:r>
        <w:rPr>
          <w:rFonts w:hint="eastAsia" w:ascii="楷体_GB2312" w:hAnsi="楷体_GB2312" w:eastAsia="楷体_GB2312" w:cs="楷体_GB2312"/>
          <w:b/>
          <w:sz w:val="32"/>
          <w:szCs w:val="32"/>
        </w:rPr>
        <w:t>（六）其他</w:t>
      </w:r>
      <w:bookmarkEnd w:id="69"/>
    </w:p>
    <w:p>
      <w:pPr>
        <w:widowControl/>
        <w:shd w:val="clear"/>
        <w:spacing w:line="560" w:lineRule="exact"/>
        <w:ind w:firstLine="620" w:firstLineChars="200"/>
        <w:jc w:val="left"/>
        <w:rPr>
          <w:rFonts w:ascii="仿宋_GB2312" w:hAnsi="宋体" w:eastAsia="仿宋_GB2312" w:cs="仿宋_GB2312"/>
          <w:kern w:val="0"/>
          <w:sz w:val="31"/>
          <w:szCs w:val="31"/>
        </w:rPr>
      </w:pPr>
      <w:r>
        <w:rPr>
          <w:rFonts w:hint="eastAsia" w:ascii="仿宋_GB2312" w:hAnsi="宋体" w:eastAsia="仿宋_GB2312" w:cs="仿宋_GB2312"/>
          <w:kern w:val="0"/>
          <w:sz w:val="31"/>
          <w:szCs w:val="31"/>
        </w:rPr>
        <w:t>2024年毕业的医学专业“四证合一”应届研究生已取得《医师执业证书》但未明确执业范围且最高学历所学专业为岗位要求专业的，可以报考</w:t>
      </w:r>
      <w:r>
        <w:rPr>
          <w:rFonts w:hint="eastAsia" w:ascii="仿宋_GB2312" w:hAnsi="仿宋_GB2312" w:eastAsia="仿宋_GB2312" w:cs="仿宋_GB2312"/>
          <w:sz w:val="32"/>
          <w:szCs w:val="32"/>
        </w:rPr>
        <w:t>岗位资格条件</w:t>
      </w:r>
      <w:r>
        <w:rPr>
          <w:rFonts w:hint="eastAsia" w:ascii="仿宋_GB2312" w:hAnsi="宋体" w:eastAsia="仿宋_GB2312" w:cs="仿宋_GB2312"/>
          <w:kern w:val="0"/>
          <w:sz w:val="31"/>
          <w:szCs w:val="31"/>
        </w:rPr>
        <w:t>中有明确要求执业范围的岗位。</w:t>
      </w:r>
    </w:p>
    <w:bookmarkEnd w:id="65"/>
    <w:p>
      <w:pPr>
        <w:shd w:val="clear"/>
        <w:snapToGrid w:val="0"/>
        <w:spacing w:line="560" w:lineRule="exact"/>
        <w:ind w:firstLine="640" w:firstLineChars="200"/>
        <w:rPr>
          <w:rFonts w:ascii="仿宋_GB2312" w:hAnsi="仿宋_GB2312" w:eastAsia="仿宋_GB2312" w:cs="仿宋_GB2312"/>
          <w:sz w:val="32"/>
          <w:szCs w:val="32"/>
        </w:rPr>
      </w:pPr>
    </w:p>
    <w:sectPr>
      <w:pgSz w:w="11906" w:h="16838"/>
      <w:pgMar w:top="2098" w:right="1474" w:bottom="1984"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4097" o:spt="202" type="#_x0000_t202" style="position:absolute;left:0pt;margin-top:0pt;height:11pt;width:4.6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4CBE"/>
    <w:multiLevelType w:val="singleLevel"/>
    <w:tmpl w:val="6DCB4CBE"/>
    <w:lvl w:ilvl="0" w:tentative="0">
      <w:start w:val="1"/>
      <w:numFmt w:val="chineseCounting"/>
      <w:suff w:val="nothing"/>
      <w:lvlText w:val="（%1）"/>
      <w:lvlJc w:val="left"/>
      <w:pPr>
        <w:ind w:left="0" w:firstLine="420"/>
      </w:pPr>
      <w:rPr>
        <w:rFonts w:hint="eastAsia" w:ascii="楷体" w:hAnsi="楷体" w:eastAsia="楷体" w:cs="楷体"/>
        <w:strike w:val="0"/>
        <w:d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101C63"/>
    <w:rsid w:val="001141D7"/>
    <w:rsid w:val="00137BC5"/>
    <w:rsid w:val="0014786A"/>
    <w:rsid w:val="0017732C"/>
    <w:rsid w:val="00193395"/>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E7744"/>
    <w:rsid w:val="002F6529"/>
    <w:rsid w:val="0031053B"/>
    <w:rsid w:val="00323E6F"/>
    <w:rsid w:val="00327314"/>
    <w:rsid w:val="00327D0C"/>
    <w:rsid w:val="0033190A"/>
    <w:rsid w:val="003413FD"/>
    <w:rsid w:val="00352943"/>
    <w:rsid w:val="003758FD"/>
    <w:rsid w:val="0038584A"/>
    <w:rsid w:val="00390791"/>
    <w:rsid w:val="00393C30"/>
    <w:rsid w:val="0039564C"/>
    <w:rsid w:val="003A7D13"/>
    <w:rsid w:val="003B30DD"/>
    <w:rsid w:val="003B3661"/>
    <w:rsid w:val="003F123B"/>
    <w:rsid w:val="003F1339"/>
    <w:rsid w:val="003F6248"/>
    <w:rsid w:val="00413DE3"/>
    <w:rsid w:val="00421000"/>
    <w:rsid w:val="004319DA"/>
    <w:rsid w:val="00456285"/>
    <w:rsid w:val="00473054"/>
    <w:rsid w:val="004869E0"/>
    <w:rsid w:val="004A42A3"/>
    <w:rsid w:val="004B1561"/>
    <w:rsid w:val="004B2DED"/>
    <w:rsid w:val="004B6278"/>
    <w:rsid w:val="004C2B60"/>
    <w:rsid w:val="004C740D"/>
    <w:rsid w:val="004D576A"/>
    <w:rsid w:val="004E3ED6"/>
    <w:rsid w:val="00503D56"/>
    <w:rsid w:val="005250F7"/>
    <w:rsid w:val="005345D7"/>
    <w:rsid w:val="00541E5E"/>
    <w:rsid w:val="00544387"/>
    <w:rsid w:val="005519B3"/>
    <w:rsid w:val="00551B2B"/>
    <w:rsid w:val="00555C24"/>
    <w:rsid w:val="00565159"/>
    <w:rsid w:val="00567350"/>
    <w:rsid w:val="00574AF0"/>
    <w:rsid w:val="005846E1"/>
    <w:rsid w:val="005905E7"/>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702F8A"/>
    <w:rsid w:val="007220D0"/>
    <w:rsid w:val="00723CB1"/>
    <w:rsid w:val="007400FA"/>
    <w:rsid w:val="00756EC5"/>
    <w:rsid w:val="007705E8"/>
    <w:rsid w:val="00777E4A"/>
    <w:rsid w:val="00790DAD"/>
    <w:rsid w:val="00791B25"/>
    <w:rsid w:val="00791D16"/>
    <w:rsid w:val="00795CB9"/>
    <w:rsid w:val="007967EA"/>
    <w:rsid w:val="007C1B59"/>
    <w:rsid w:val="007C4212"/>
    <w:rsid w:val="007D437E"/>
    <w:rsid w:val="007E41A3"/>
    <w:rsid w:val="007F533F"/>
    <w:rsid w:val="0080368F"/>
    <w:rsid w:val="008132CA"/>
    <w:rsid w:val="00832857"/>
    <w:rsid w:val="0083620D"/>
    <w:rsid w:val="008610BF"/>
    <w:rsid w:val="00872411"/>
    <w:rsid w:val="00877227"/>
    <w:rsid w:val="00881AA0"/>
    <w:rsid w:val="008823A1"/>
    <w:rsid w:val="00895091"/>
    <w:rsid w:val="008A5364"/>
    <w:rsid w:val="008B35DF"/>
    <w:rsid w:val="008B603D"/>
    <w:rsid w:val="008B79ED"/>
    <w:rsid w:val="008D1852"/>
    <w:rsid w:val="00905C34"/>
    <w:rsid w:val="00913B6C"/>
    <w:rsid w:val="00940152"/>
    <w:rsid w:val="00950F30"/>
    <w:rsid w:val="00954E45"/>
    <w:rsid w:val="00962CC8"/>
    <w:rsid w:val="00972D58"/>
    <w:rsid w:val="00995277"/>
    <w:rsid w:val="009A3578"/>
    <w:rsid w:val="009D0DDC"/>
    <w:rsid w:val="009D6F29"/>
    <w:rsid w:val="009D7416"/>
    <w:rsid w:val="009E4603"/>
    <w:rsid w:val="009E4D11"/>
    <w:rsid w:val="00A01963"/>
    <w:rsid w:val="00A06918"/>
    <w:rsid w:val="00A1489E"/>
    <w:rsid w:val="00A217A8"/>
    <w:rsid w:val="00A268DE"/>
    <w:rsid w:val="00A32FC9"/>
    <w:rsid w:val="00A57868"/>
    <w:rsid w:val="00A65DD2"/>
    <w:rsid w:val="00A74F77"/>
    <w:rsid w:val="00A805DA"/>
    <w:rsid w:val="00A84DFE"/>
    <w:rsid w:val="00AA508C"/>
    <w:rsid w:val="00AA6BF1"/>
    <w:rsid w:val="00AB091A"/>
    <w:rsid w:val="00AB1E03"/>
    <w:rsid w:val="00AB6A05"/>
    <w:rsid w:val="00AC5424"/>
    <w:rsid w:val="00B215F6"/>
    <w:rsid w:val="00B24F71"/>
    <w:rsid w:val="00B26EC3"/>
    <w:rsid w:val="00B30772"/>
    <w:rsid w:val="00B32262"/>
    <w:rsid w:val="00B42C35"/>
    <w:rsid w:val="00B46E15"/>
    <w:rsid w:val="00B84020"/>
    <w:rsid w:val="00B91E17"/>
    <w:rsid w:val="00B950B3"/>
    <w:rsid w:val="00BA29B7"/>
    <w:rsid w:val="00BA31A7"/>
    <w:rsid w:val="00BB2B71"/>
    <w:rsid w:val="00BF0C5A"/>
    <w:rsid w:val="00BF58CD"/>
    <w:rsid w:val="00C009D9"/>
    <w:rsid w:val="00C10BBC"/>
    <w:rsid w:val="00C11140"/>
    <w:rsid w:val="00C121E0"/>
    <w:rsid w:val="00C14388"/>
    <w:rsid w:val="00C2186B"/>
    <w:rsid w:val="00C2304E"/>
    <w:rsid w:val="00C37E04"/>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F5F"/>
    <w:rsid w:val="00D43CF0"/>
    <w:rsid w:val="00D47F20"/>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4BFF"/>
    <w:rsid w:val="00E85A5E"/>
    <w:rsid w:val="00EA31FA"/>
    <w:rsid w:val="00EA35A1"/>
    <w:rsid w:val="00EB4277"/>
    <w:rsid w:val="00EC0FDE"/>
    <w:rsid w:val="00EE4163"/>
    <w:rsid w:val="00EE7384"/>
    <w:rsid w:val="00F02E49"/>
    <w:rsid w:val="00F0419D"/>
    <w:rsid w:val="00F07FBE"/>
    <w:rsid w:val="00F12DD7"/>
    <w:rsid w:val="00F135AC"/>
    <w:rsid w:val="00F2449F"/>
    <w:rsid w:val="00F24AC9"/>
    <w:rsid w:val="00F34B3F"/>
    <w:rsid w:val="00F42131"/>
    <w:rsid w:val="00F44D41"/>
    <w:rsid w:val="00F5073D"/>
    <w:rsid w:val="00F5550C"/>
    <w:rsid w:val="00F60F54"/>
    <w:rsid w:val="00F65A11"/>
    <w:rsid w:val="00F8296D"/>
    <w:rsid w:val="00F84DA1"/>
    <w:rsid w:val="00FC084C"/>
    <w:rsid w:val="00FC74FA"/>
    <w:rsid w:val="00FC7AD4"/>
    <w:rsid w:val="012E4057"/>
    <w:rsid w:val="01706B3D"/>
    <w:rsid w:val="01864305"/>
    <w:rsid w:val="029C19EF"/>
    <w:rsid w:val="02AF79A2"/>
    <w:rsid w:val="039D63E2"/>
    <w:rsid w:val="0431644B"/>
    <w:rsid w:val="05AC43BD"/>
    <w:rsid w:val="05D97382"/>
    <w:rsid w:val="060D0DBE"/>
    <w:rsid w:val="063C65E5"/>
    <w:rsid w:val="06B534C8"/>
    <w:rsid w:val="06D75243"/>
    <w:rsid w:val="085459A4"/>
    <w:rsid w:val="089D2016"/>
    <w:rsid w:val="09283A63"/>
    <w:rsid w:val="09D1113A"/>
    <w:rsid w:val="0A2926EC"/>
    <w:rsid w:val="0ABE0466"/>
    <w:rsid w:val="0B0A2E66"/>
    <w:rsid w:val="0BCA2B3D"/>
    <w:rsid w:val="0C42075F"/>
    <w:rsid w:val="0C62192F"/>
    <w:rsid w:val="0C9537CF"/>
    <w:rsid w:val="0CB229A4"/>
    <w:rsid w:val="0CFA7F8B"/>
    <w:rsid w:val="0EC36EF9"/>
    <w:rsid w:val="0EEC0086"/>
    <w:rsid w:val="0EFC1000"/>
    <w:rsid w:val="0FB1548E"/>
    <w:rsid w:val="0FE91000"/>
    <w:rsid w:val="11D50F5D"/>
    <w:rsid w:val="127C59E8"/>
    <w:rsid w:val="12B17B3E"/>
    <w:rsid w:val="135A5B2F"/>
    <w:rsid w:val="137A7CA3"/>
    <w:rsid w:val="14CE1044"/>
    <w:rsid w:val="15714F96"/>
    <w:rsid w:val="15D95F9E"/>
    <w:rsid w:val="17132CD9"/>
    <w:rsid w:val="17ED26CB"/>
    <w:rsid w:val="1883196F"/>
    <w:rsid w:val="18DC4FBF"/>
    <w:rsid w:val="19F2321C"/>
    <w:rsid w:val="1A6D1194"/>
    <w:rsid w:val="1B4D3A90"/>
    <w:rsid w:val="1E381C14"/>
    <w:rsid w:val="1EAE54C8"/>
    <w:rsid w:val="1FAD1DE7"/>
    <w:rsid w:val="206474C3"/>
    <w:rsid w:val="20AB3B48"/>
    <w:rsid w:val="20D11DC7"/>
    <w:rsid w:val="2107136B"/>
    <w:rsid w:val="212E6965"/>
    <w:rsid w:val="21CD6AB5"/>
    <w:rsid w:val="21F41D88"/>
    <w:rsid w:val="23B83892"/>
    <w:rsid w:val="23DA0315"/>
    <w:rsid w:val="242714D3"/>
    <w:rsid w:val="248C709C"/>
    <w:rsid w:val="25454C78"/>
    <w:rsid w:val="25637318"/>
    <w:rsid w:val="25B64A56"/>
    <w:rsid w:val="262877F4"/>
    <w:rsid w:val="27312756"/>
    <w:rsid w:val="27434329"/>
    <w:rsid w:val="27613E34"/>
    <w:rsid w:val="28654F9C"/>
    <w:rsid w:val="28CF4676"/>
    <w:rsid w:val="29A27F83"/>
    <w:rsid w:val="29DC3048"/>
    <w:rsid w:val="2A46176F"/>
    <w:rsid w:val="2A681CA7"/>
    <w:rsid w:val="2AB93EDB"/>
    <w:rsid w:val="2B5A73B3"/>
    <w:rsid w:val="2C0C1B4F"/>
    <w:rsid w:val="2D0A1C91"/>
    <w:rsid w:val="2D146264"/>
    <w:rsid w:val="2D1620D0"/>
    <w:rsid w:val="2D3D3232"/>
    <w:rsid w:val="2D8F5E9A"/>
    <w:rsid w:val="2E10141D"/>
    <w:rsid w:val="2EBF1CF7"/>
    <w:rsid w:val="2ED55ABF"/>
    <w:rsid w:val="2EF03772"/>
    <w:rsid w:val="2F5A04DD"/>
    <w:rsid w:val="2FCF1868"/>
    <w:rsid w:val="2FF31FA0"/>
    <w:rsid w:val="30F8458A"/>
    <w:rsid w:val="3112736D"/>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B1D6F7D"/>
    <w:rsid w:val="3CAA7142"/>
    <w:rsid w:val="3D3C6670"/>
    <w:rsid w:val="3D5926B2"/>
    <w:rsid w:val="3E742100"/>
    <w:rsid w:val="3ECC1AD5"/>
    <w:rsid w:val="40280F9C"/>
    <w:rsid w:val="41FD4244"/>
    <w:rsid w:val="431A4FDF"/>
    <w:rsid w:val="451E0B82"/>
    <w:rsid w:val="45C66CF9"/>
    <w:rsid w:val="45D103AB"/>
    <w:rsid w:val="45D321F0"/>
    <w:rsid w:val="46DF3096"/>
    <w:rsid w:val="47240519"/>
    <w:rsid w:val="48613330"/>
    <w:rsid w:val="48C75D1F"/>
    <w:rsid w:val="4C9B4511"/>
    <w:rsid w:val="4D667BAF"/>
    <w:rsid w:val="4E073F0E"/>
    <w:rsid w:val="4E7B6BE7"/>
    <w:rsid w:val="4EBD7FB6"/>
    <w:rsid w:val="4EC918D2"/>
    <w:rsid w:val="4EE73456"/>
    <w:rsid w:val="4EFE0085"/>
    <w:rsid w:val="50247421"/>
    <w:rsid w:val="50B679B6"/>
    <w:rsid w:val="50C56250"/>
    <w:rsid w:val="5131416E"/>
    <w:rsid w:val="51C74C19"/>
    <w:rsid w:val="52FB3729"/>
    <w:rsid w:val="53564D9D"/>
    <w:rsid w:val="540313D5"/>
    <w:rsid w:val="54EC7875"/>
    <w:rsid w:val="556851B9"/>
    <w:rsid w:val="56BE477A"/>
    <w:rsid w:val="576F2D86"/>
    <w:rsid w:val="579E6CD9"/>
    <w:rsid w:val="58957AF6"/>
    <w:rsid w:val="58BE409B"/>
    <w:rsid w:val="595208AE"/>
    <w:rsid w:val="5A551433"/>
    <w:rsid w:val="5A6E3F82"/>
    <w:rsid w:val="5A9340A0"/>
    <w:rsid w:val="5AAA10A0"/>
    <w:rsid w:val="5B802150"/>
    <w:rsid w:val="5BF24A76"/>
    <w:rsid w:val="5C033BC0"/>
    <w:rsid w:val="5C620362"/>
    <w:rsid w:val="5C976E58"/>
    <w:rsid w:val="5DFF4EA3"/>
    <w:rsid w:val="5E1C0D12"/>
    <w:rsid w:val="5EAB5FC1"/>
    <w:rsid w:val="5F3A704F"/>
    <w:rsid w:val="602A3FA6"/>
    <w:rsid w:val="61135A5D"/>
    <w:rsid w:val="62E81473"/>
    <w:rsid w:val="633A3546"/>
    <w:rsid w:val="642C7E79"/>
    <w:rsid w:val="6529276A"/>
    <w:rsid w:val="65561D37"/>
    <w:rsid w:val="662218A6"/>
    <w:rsid w:val="67587B68"/>
    <w:rsid w:val="688F48E3"/>
    <w:rsid w:val="699B2168"/>
    <w:rsid w:val="6A036F24"/>
    <w:rsid w:val="6A1F5B15"/>
    <w:rsid w:val="6ACA2314"/>
    <w:rsid w:val="6BB73BC1"/>
    <w:rsid w:val="6BE172C8"/>
    <w:rsid w:val="6D9912B9"/>
    <w:rsid w:val="6E350CCC"/>
    <w:rsid w:val="6E7C5CB3"/>
    <w:rsid w:val="6F122394"/>
    <w:rsid w:val="6FEE47F4"/>
    <w:rsid w:val="70A854E5"/>
    <w:rsid w:val="70EA56E6"/>
    <w:rsid w:val="70EE53CD"/>
    <w:rsid w:val="72080B36"/>
    <w:rsid w:val="736B2384"/>
    <w:rsid w:val="743C5AC7"/>
    <w:rsid w:val="746F7336"/>
    <w:rsid w:val="747852FC"/>
    <w:rsid w:val="75CD167C"/>
    <w:rsid w:val="76F70E5D"/>
    <w:rsid w:val="777506C5"/>
    <w:rsid w:val="77B87675"/>
    <w:rsid w:val="77EC41DA"/>
    <w:rsid w:val="785B6B77"/>
    <w:rsid w:val="78E77648"/>
    <w:rsid w:val="796D3657"/>
    <w:rsid w:val="7A595755"/>
    <w:rsid w:val="7AEA5CB2"/>
    <w:rsid w:val="7B090008"/>
    <w:rsid w:val="7BF511F2"/>
    <w:rsid w:val="7C4A1585"/>
    <w:rsid w:val="7DA302C5"/>
    <w:rsid w:val="7DD8399D"/>
    <w:rsid w:val="7F526B1C"/>
    <w:rsid w:val="7FE650A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locked/>
    <w:uiPriority w:val="99"/>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
    <w:semiHidden/>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paragraph" w:styleId="9">
    <w:name w:val="Normal (Web)"/>
    <w:basedOn w:val="1"/>
    <w:unhideWhenUsed/>
    <w:qFormat/>
    <w:uiPriority w:val="99"/>
    <w:pPr>
      <w:spacing w:before="100" w:beforeAutospacing="1" w:after="100" w:afterAutospacing="1"/>
      <w:jc w:val="left"/>
    </w:pPr>
    <w:rPr>
      <w:kern w:val="0"/>
      <w:sz w:val="24"/>
    </w:rPr>
  </w:style>
  <w:style w:type="character" w:styleId="12">
    <w:name w:val="FollowedHyperlink"/>
    <w:basedOn w:val="11"/>
    <w:qFormat/>
    <w:uiPriority w:val="99"/>
    <w:rPr>
      <w:rFonts w:cs="Times New Roman"/>
      <w:color w:val="800080"/>
      <w:u w:val="single"/>
    </w:rPr>
  </w:style>
  <w:style w:type="character" w:styleId="13">
    <w:name w:val="Hyperlink"/>
    <w:basedOn w:val="11"/>
    <w:qFormat/>
    <w:uiPriority w:val="99"/>
    <w:rPr>
      <w:rFonts w:cs="Times New Roman"/>
      <w:color w:val="0000FF"/>
      <w:u w:val="single"/>
    </w:rPr>
  </w:style>
  <w:style w:type="character" w:styleId="14">
    <w:name w:val="annotation reference"/>
    <w:basedOn w:val="11"/>
    <w:semiHidden/>
    <w:qFormat/>
    <w:uiPriority w:val="99"/>
    <w:rPr>
      <w:rFonts w:cs="Times New Roman"/>
      <w:sz w:val="21"/>
      <w:szCs w:val="21"/>
    </w:rPr>
  </w:style>
  <w:style w:type="character" w:customStyle="1" w:styleId="15">
    <w:name w:val="标题 1 Char"/>
    <w:basedOn w:val="11"/>
    <w:link w:val="2"/>
    <w:qFormat/>
    <w:locked/>
    <w:uiPriority w:val="99"/>
    <w:rPr>
      <w:rFonts w:ascii="Calibri" w:hAnsi="Calibri" w:eastAsia="宋体" w:cs="Times New Roman"/>
      <w:b/>
      <w:kern w:val="44"/>
      <w:sz w:val="22"/>
      <w:szCs w:val="22"/>
      <w:lang w:val="en-US" w:eastAsia="zh-CN" w:bidi="ar-SA"/>
    </w:rPr>
  </w:style>
  <w:style w:type="character" w:customStyle="1" w:styleId="16">
    <w:name w:val="批注文字 Char"/>
    <w:basedOn w:val="11"/>
    <w:link w:val="3"/>
    <w:semiHidden/>
    <w:qFormat/>
    <w:locked/>
    <w:uiPriority w:val="99"/>
    <w:rPr>
      <w:rFonts w:cs="Times New Roman"/>
    </w:rPr>
  </w:style>
  <w:style w:type="character" w:customStyle="1" w:styleId="17">
    <w:name w:val="批注框文本 Char"/>
    <w:basedOn w:val="11"/>
    <w:link w:val="4"/>
    <w:semiHidden/>
    <w:qFormat/>
    <w:locked/>
    <w:uiPriority w:val="99"/>
    <w:rPr>
      <w:rFonts w:cs="Times New Roman"/>
      <w:sz w:val="2"/>
    </w:rPr>
  </w:style>
  <w:style w:type="character" w:customStyle="1" w:styleId="18">
    <w:name w:val="页脚 Char"/>
    <w:basedOn w:val="11"/>
    <w:link w:val="5"/>
    <w:qFormat/>
    <w:locked/>
    <w:uiPriority w:val="99"/>
    <w:rPr>
      <w:rFonts w:cs="Times New Roman"/>
      <w:sz w:val="18"/>
      <w:szCs w:val="18"/>
    </w:rPr>
  </w:style>
  <w:style w:type="character" w:customStyle="1" w:styleId="19">
    <w:name w:val="页眉 Char"/>
    <w:basedOn w:val="11"/>
    <w:link w:val="6"/>
    <w:semiHidden/>
    <w:qFormat/>
    <w:locked/>
    <w:uiPriority w:val="99"/>
    <w:rPr>
      <w:rFonts w:cs="Times New Roman"/>
      <w:sz w:val="18"/>
      <w:szCs w:val="18"/>
    </w:rPr>
  </w:style>
  <w:style w:type="paragraph" w:customStyle="1" w:styleId="20">
    <w:name w:val="WPSOffice手动目录 1"/>
    <w:qFormat/>
    <w:uiPriority w:val="99"/>
    <w:rPr>
      <w:rFonts w:ascii="Times New Roman" w:hAnsi="Times New Roman" w:eastAsia="宋体" w:cs="Times New Roman"/>
      <w:lang w:val="en-US" w:eastAsia="zh-CN" w:bidi="ar-SA"/>
    </w:rPr>
  </w:style>
  <w:style w:type="paragraph" w:customStyle="1" w:styleId="21">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2">
    <w:name w:val="列出段落1"/>
    <w:basedOn w:val="1"/>
    <w:qFormat/>
    <w:uiPriority w:val="99"/>
    <w:pPr>
      <w:ind w:firstLine="420" w:firstLineChars="200"/>
    </w:pPr>
  </w:style>
  <w:style w:type="character" w:customStyle="1" w:styleId="23">
    <w:name w:val="fontstyle01"/>
    <w:basedOn w:val="11"/>
    <w:qFormat/>
    <w:uiPriority w:val="0"/>
    <w:rPr>
      <w:rFonts w:ascii="楷体" w:hAnsi="楷体" w:eastAsia="楷体" w:cs="楷体"/>
      <w:color w:val="000000"/>
      <w:sz w:val="32"/>
      <w:szCs w:val="32"/>
    </w:rPr>
  </w:style>
  <w:style w:type="character" w:customStyle="1" w:styleId="24">
    <w:name w:val="fontstyle11"/>
    <w:basedOn w:val="11"/>
    <w:qFormat/>
    <w:uiPriority w:val="0"/>
    <w:rPr>
      <w:rFonts w:ascii="仿宋_GB2312" w:eastAsia="仿宋_GB2312" w:cs="仿宋_GB2312"/>
      <w:color w:val="000000"/>
      <w:sz w:val="32"/>
      <w:szCs w:val="32"/>
    </w:rPr>
  </w:style>
  <w:style w:type="character" w:customStyle="1" w:styleId="25">
    <w:name w:val="fontstyle21"/>
    <w:basedOn w:val="11"/>
    <w:qFormat/>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1775</Words>
  <Characters>10119</Characters>
  <Lines>84</Lines>
  <Paragraphs>23</Paragraphs>
  <TotalTime>55</TotalTime>
  <ScaleCrop>false</ScaleCrop>
  <LinksUpToDate>false</LinksUpToDate>
  <CharactersWithSpaces>11871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2021-04-28T01:40:00Z</dcterms:created>
  <dc:creator>dell</dc:creator>
  <cp:lastModifiedBy>Administrator</cp:lastModifiedBy>
  <cp:lastPrinted>2024-04-10T09:59:00Z</cp:lastPrinted>
  <dcterms:modified xsi:type="dcterms:W3CDTF">2024-04-11T07:41:20Z</dcterms:modified>
  <dc:title>附件1：厦门市同安区所属卫生事业单位</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BBB33F58C3C24EACA45BE9106E0C57BD</vt:lpwstr>
  </property>
</Properties>
</file>