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0" w:lineRule="exact"/>
        <w:jc w:val="left"/>
        <w:rPr>
          <w:rFonts w:hint="default" w:ascii="Times New Roman" w:hAnsi="Times New Roman" w:eastAsia="黑体" w:cs="Times New Roman"/>
          <w:bCs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24"/>
          <w:szCs w:val="24"/>
        </w:rPr>
        <w:t>附件1</w:t>
      </w:r>
    </w:p>
    <w:tbl>
      <w:tblPr>
        <w:tblStyle w:val="4"/>
        <w:tblpPr w:leftFromText="180" w:rightFromText="180" w:vertAnchor="text" w:horzAnchor="page" w:tblpXSpec="center" w:tblpY="436"/>
        <w:tblOverlap w:val="never"/>
        <w:tblW w:w="154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750"/>
        <w:gridCol w:w="1095"/>
        <w:gridCol w:w="750"/>
        <w:gridCol w:w="1065"/>
        <w:gridCol w:w="630"/>
        <w:gridCol w:w="645"/>
        <w:gridCol w:w="870"/>
        <w:gridCol w:w="2175"/>
        <w:gridCol w:w="2291"/>
        <w:gridCol w:w="667"/>
        <w:gridCol w:w="1217"/>
        <w:gridCol w:w="1505"/>
        <w:gridCol w:w="10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1542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大标宋简体" w:cs="Times New Roman"/>
                <w:color w:val="auto"/>
                <w:sz w:val="40"/>
                <w:szCs w:val="40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0"/>
                <w:szCs w:val="40"/>
              </w:rPr>
              <w:t>建湖县融媒体中心</w:t>
            </w: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40"/>
                <w:szCs w:val="40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0"/>
                <w:szCs w:val="40"/>
              </w:rPr>
              <w:t>公开招聘</w:t>
            </w: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40"/>
                <w:szCs w:val="40"/>
                <w:lang w:eastAsia="zh-CN"/>
              </w:rPr>
              <w:t>人员</w:t>
            </w: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0"/>
                <w:szCs w:val="40"/>
              </w:rPr>
              <w:t>岗位表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主管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部门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经费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来源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招聘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人数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开考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比例</w:t>
            </w:r>
          </w:p>
        </w:tc>
        <w:tc>
          <w:tcPr>
            <w:tcW w:w="6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招聘条件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考试形式及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所占比例</w:t>
            </w: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其他说明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政策咨询电话及联系人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岗位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代码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招聘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2"/>
                <w:szCs w:val="22"/>
              </w:rPr>
              <w:t>对象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建湖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eastAsia="zh-CN"/>
              </w:rPr>
              <w:t>县委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全额拨款事业单位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eastAsia="zh-CN"/>
              </w:rPr>
              <w:t>全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媒体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记者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专业技术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1：3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中文文秘类；艺术类；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取得国家新闻出版署颁发（监制）的新闻记者证且有三年以上媒体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从业经验的，不限专业。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①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取得相应学位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②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有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媒体从业经验的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，需提供聘用合同、当地人社部门社会保险经办机构出具的本人养老保险证明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及个人创作的新闻相关作品或获奖证书的复印件。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笔试</w:t>
            </w: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专业技能测试</w:t>
            </w: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  <w:t>服务年限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  <w:t>不少于5年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0515-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82060908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严书楼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eastAsia="zh-CN"/>
              </w:rPr>
              <w:t>建湖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eastAsia="zh-CN"/>
              </w:rPr>
              <w:t>县委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全额拨款事业单位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文字记者（编辑）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专业技术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1：3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中文文秘类；艺术类；社会政治类；取得国家新闻出版署颁发（监制）的新闻记者证且有三年以上媒体相关从业经验的，不限专业。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①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取得相应学位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②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有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媒体从业经验的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，需提供聘用合同、当地人社部门社会保险经办机构出具的本人养老保险证明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及个人创作的新闻相关作品或获奖证书的复印件。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16"/>
                <w:szCs w:val="16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eastAsia="zh-CN"/>
              </w:rPr>
              <w:t>建湖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eastAsia="zh-CN"/>
              </w:rPr>
              <w:t>县委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全额拨款事业单位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视频摄制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专业技术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1：3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中文文秘类；艺术类；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计算机类；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取得国家新闻出版署颁发（监制）的新闻记者证且有三年以上媒体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从业经验的，不限专业。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①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取得相应学位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②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有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</w:rPr>
              <w:t>媒体从业经验的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，需提供聘用合同、当地人社部门社会保险经办机构出具的本人养老保险证明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及个人创作的新闻相关作品或获奖证书的复印件。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5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16"/>
                <w:szCs w:val="16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16"/>
                <w:szCs w:val="16"/>
              </w:rPr>
            </w:pPr>
          </w:p>
        </w:tc>
      </w:tr>
    </w:tbl>
    <w:p/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B8A729-6C6F-4826-9ACF-BEA6E5BC4FC4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5F4FE60-BA68-4423-B7EA-6620958BD0F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29FDDA0-F1E1-4341-8AEC-BB5A835B29B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97C3D2D-21A6-4A7B-8D66-46B9B27A9D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MGY0N2IwYjkyMTc0NmM0OGViNTkyZjY4NGZlN2EifQ=="/>
  </w:docVars>
  <w:rsids>
    <w:rsidRoot w:val="0A337DAB"/>
    <w:rsid w:val="0A33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615</Words>
  <Characters>636</Characters>
  <Lines>0</Lines>
  <Paragraphs>0</Paragraphs>
  <TotalTime>0</TotalTime>
  <ScaleCrop>false</ScaleCrop>
  <LinksUpToDate>false</LinksUpToDate>
  <CharactersWithSpaces>636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2024-04-26T07:00:00Z</dcterms:created>
  <dc:creator>WPS_1520782893</dc:creator>
  <cp:lastModifiedBy>WPS_1520782893</cp:lastModifiedBy>
  <dcterms:modified xsi:type="dcterms:W3CDTF">2024-04-26T07:01:03Z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43ABFCC9FD544C20A6DD01AA51525FF1_11</vt:lpwstr>
  </property>
</Properties>
</file>