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DDF42" w14:textId="77777777" w:rsidR="00A10A54" w:rsidRDefault="00A10A54" w:rsidP="00A10A54">
      <w:pPr>
        <w:spacing w:line="560" w:lineRule="exact"/>
        <w:jc w:val="center"/>
        <w:rPr>
          <w:rFonts w:ascii="宋体" w:hAnsi="宋体" w:cs="宋体"/>
          <w:b/>
          <w:bCs/>
          <w:color w:val="000000"/>
          <w:kern w:val="0"/>
          <w:sz w:val="30"/>
          <w:szCs w:val="30"/>
        </w:rPr>
      </w:pPr>
      <w:r>
        <w:rPr>
          <w:rFonts w:ascii="宋体" w:hAnsi="宋体" w:cs="宋体" w:hint="eastAsia"/>
          <w:b/>
          <w:bCs/>
          <w:color w:val="000000"/>
          <w:kern w:val="0"/>
          <w:sz w:val="30"/>
          <w:szCs w:val="30"/>
        </w:rPr>
        <w:t>上海政法学院2024年工作人员公开招聘岗位汇总</w:t>
      </w:r>
    </w:p>
    <w:tbl>
      <w:tblPr>
        <w:tblW w:w="9062" w:type="dxa"/>
        <w:jc w:val="center"/>
        <w:tblLook w:val="04A0" w:firstRow="1" w:lastRow="0" w:firstColumn="1" w:lastColumn="0" w:noHBand="0" w:noVBand="1"/>
      </w:tblPr>
      <w:tblGrid>
        <w:gridCol w:w="808"/>
        <w:gridCol w:w="860"/>
        <w:gridCol w:w="1376"/>
        <w:gridCol w:w="1901"/>
        <w:gridCol w:w="851"/>
        <w:gridCol w:w="3266"/>
      </w:tblGrid>
      <w:tr w:rsidR="00A10A54" w14:paraId="6A6BC8AA" w14:textId="77777777" w:rsidTr="008E4AD3">
        <w:trPr>
          <w:trHeight w:val="554"/>
          <w:jc w:val="center"/>
        </w:trPr>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14:paraId="45BAAF5B" w14:textId="77777777" w:rsidR="00A10A54" w:rsidRDefault="00A10A54" w:rsidP="008E4AD3">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部门</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25E621BC" w14:textId="77777777" w:rsidR="00A10A54" w:rsidRDefault="00A10A54" w:rsidP="008E4AD3">
            <w:pPr>
              <w:jc w:val="center"/>
              <w:rPr>
                <w:rFonts w:ascii="仿宋" w:eastAsia="仿宋" w:hAnsi="仿宋" w:cs="宋体"/>
                <w:b/>
                <w:bCs/>
                <w:color w:val="000000"/>
                <w:sz w:val="24"/>
              </w:rPr>
            </w:pPr>
            <w:r>
              <w:rPr>
                <w:rFonts w:ascii="仿宋" w:eastAsia="仿宋" w:hAnsi="仿宋" w:hint="eastAsia"/>
                <w:b/>
                <w:bCs/>
                <w:color w:val="000000"/>
                <w:sz w:val="24"/>
              </w:rPr>
              <w:t>岗位类别</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08A8DD73" w14:textId="77777777" w:rsidR="00A10A54" w:rsidRDefault="00A10A54" w:rsidP="008E4AD3">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岗位名称</w:t>
            </w:r>
          </w:p>
        </w:tc>
        <w:tc>
          <w:tcPr>
            <w:tcW w:w="1901" w:type="dxa"/>
            <w:tcBorders>
              <w:top w:val="single" w:sz="4" w:space="0" w:color="auto"/>
              <w:left w:val="nil"/>
              <w:bottom w:val="single" w:sz="4" w:space="0" w:color="auto"/>
              <w:right w:val="single" w:sz="4" w:space="0" w:color="auto"/>
            </w:tcBorders>
            <w:shd w:val="clear" w:color="000000" w:fill="FFFFFF"/>
            <w:vAlign w:val="center"/>
          </w:tcPr>
          <w:p w14:paraId="51444870" w14:textId="77777777" w:rsidR="00A10A54" w:rsidRDefault="00A10A54" w:rsidP="008E4AD3">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专业</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39BCB5A" w14:textId="77777777" w:rsidR="00A10A54" w:rsidRDefault="00A10A54" w:rsidP="008E4AD3">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招聘人数</w:t>
            </w:r>
          </w:p>
        </w:tc>
        <w:tc>
          <w:tcPr>
            <w:tcW w:w="3266" w:type="dxa"/>
            <w:tcBorders>
              <w:top w:val="single" w:sz="4" w:space="0" w:color="auto"/>
              <w:left w:val="nil"/>
              <w:bottom w:val="single" w:sz="4" w:space="0" w:color="auto"/>
              <w:right w:val="single" w:sz="4" w:space="0" w:color="auto"/>
            </w:tcBorders>
            <w:shd w:val="clear" w:color="000000" w:fill="FFFFFF"/>
            <w:vAlign w:val="center"/>
          </w:tcPr>
          <w:p w14:paraId="4AD50D4B" w14:textId="77777777" w:rsidR="00A10A54" w:rsidRDefault="00A10A54" w:rsidP="008E4AD3">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其他要求</w:t>
            </w:r>
          </w:p>
        </w:tc>
      </w:tr>
      <w:tr w:rsidR="00A10A54" w14:paraId="63F209B1" w14:textId="77777777" w:rsidTr="008E4AD3">
        <w:trPr>
          <w:trHeight w:val="1158"/>
          <w:jc w:val="center"/>
        </w:trPr>
        <w:tc>
          <w:tcPr>
            <w:tcW w:w="8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3FE1A78"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计财处</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064A38FA" w14:textId="77777777" w:rsidR="00A10A54" w:rsidRDefault="00A10A54" w:rsidP="008E4AD3">
            <w:pPr>
              <w:jc w:val="center"/>
              <w:rPr>
                <w:rFonts w:ascii="仿宋" w:eastAsia="仿宋" w:hAnsi="仿宋" w:cs="宋体"/>
                <w:color w:val="000000"/>
                <w:kern w:val="0"/>
                <w:sz w:val="24"/>
              </w:rPr>
            </w:pPr>
            <w:r>
              <w:rPr>
                <w:rFonts w:ascii="仿宋" w:eastAsia="仿宋" w:hAnsi="仿宋" w:cs="宋体" w:hint="eastAsia"/>
                <w:color w:val="000000"/>
                <w:kern w:val="0"/>
                <w:sz w:val="24"/>
              </w:rPr>
              <w:t>其他专业技术</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687877F4"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预算管理</w:t>
            </w:r>
          </w:p>
        </w:tc>
        <w:tc>
          <w:tcPr>
            <w:tcW w:w="1901" w:type="dxa"/>
            <w:tcBorders>
              <w:top w:val="single" w:sz="4" w:space="0" w:color="auto"/>
              <w:left w:val="nil"/>
              <w:bottom w:val="single" w:sz="4" w:space="0" w:color="auto"/>
              <w:right w:val="single" w:sz="4" w:space="0" w:color="auto"/>
            </w:tcBorders>
            <w:shd w:val="clear" w:color="000000" w:fill="FFFFFF"/>
            <w:vAlign w:val="center"/>
          </w:tcPr>
          <w:p w14:paraId="709EC120"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财经类相关专业</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563E1A3"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3266" w:type="dxa"/>
            <w:tcBorders>
              <w:top w:val="single" w:sz="4" w:space="0" w:color="auto"/>
              <w:left w:val="nil"/>
              <w:bottom w:val="single" w:sz="4" w:space="0" w:color="auto"/>
              <w:right w:val="single" w:sz="4" w:space="0" w:color="auto"/>
            </w:tcBorders>
            <w:shd w:val="clear" w:color="000000" w:fill="FFFFFF"/>
            <w:vAlign w:val="center"/>
          </w:tcPr>
          <w:p w14:paraId="33D3EB2E"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熟悉政府预算制度和高等学校财务制度且能熟练操作上海市预算管理一体化信息系统者优先。</w:t>
            </w:r>
          </w:p>
        </w:tc>
      </w:tr>
      <w:tr w:rsidR="00A10A54" w14:paraId="48C0D000" w14:textId="77777777" w:rsidTr="008E4AD3">
        <w:trPr>
          <w:trHeight w:val="1158"/>
          <w:jc w:val="center"/>
        </w:trPr>
        <w:tc>
          <w:tcPr>
            <w:tcW w:w="808"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76ABE2A" w14:textId="77777777" w:rsidR="00A10A54" w:rsidRDefault="00A10A54" w:rsidP="008E4AD3">
            <w:pPr>
              <w:widowControl/>
              <w:jc w:val="center"/>
              <w:rPr>
                <w:rFonts w:ascii="仿宋" w:eastAsia="仿宋" w:hAnsi="仿宋" w:cs="宋体"/>
                <w:color w:val="000000"/>
                <w:kern w:val="0"/>
                <w:sz w:val="24"/>
              </w:rPr>
            </w:pPr>
          </w:p>
        </w:tc>
        <w:tc>
          <w:tcPr>
            <w:tcW w:w="860" w:type="dxa"/>
            <w:tcBorders>
              <w:top w:val="single" w:sz="4" w:space="0" w:color="auto"/>
              <w:left w:val="nil"/>
              <w:bottom w:val="single" w:sz="4" w:space="0" w:color="auto"/>
              <w:right w:val="single" w:sz="4" w:space="0" w:color="auto"/>
            </w:tcBorders>
            <w:shd w:val="clear" w:color="000000" w:fill="FFFFFF"/>
            <w:vAlign w:val="center"/>
          </w:tcPr>
          <w:p w14:paraId="350E3C8E" w14:textId="77777777" w:rsidR="00A10A54" w:rsidRDefault="00A10A54" w:rsidP="008E4AD3">
            <w:pPr>
              <w:jc w:val="center"/>
              <w:rPr>
                <w:rFonts w:ascii="仿宋" w:eastAsia="仿宋" w:hAnsi="仿宋" w:cs="宋体"/>
                <w:color w:val="000000"/>
                <w:kern w:val="0"/>
                <w:sz w:val="24"/>
              </w:rPr>
            </w:pPr>
            <w:r>
              <w:rPr>
                <w:rFonts w:ascii="仿宋" w:eastAsia="仿宋" w:hAnsi="仿宋" w:cs="宋体" w:hint="eastAsia"/>
                <w:color w:val="000000"/>
                <w:kern w:val="0"/>
                <w:sz w:val="24"/>
              </w:rPr>
              <w:t>其他专业技术</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7E35F19E"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会计核算</w:t>
            </w:r>
          </w:p>
        </w:tc>
        <w:tc>
          <w:tcPr>
            <w:tcW w:w="1901" w:type="dxa"/>
            <w:tcBorders>
              <w:top w:val="single" w:sz="4" w:space="0" w:color="auto"/>
              <w:left w:val="nil"/>
              <w:bottom w:val="single" w:sz="4" w:space="0" w:color="auto"/>
              <w:right w:val="single" w:sz="4" w:space="0" w:color="auto"/>
            </w:tcBorders>
            <w:shd w:val="clear" w:color="000000" w:fill="FFFFFF"/>
            <w:vAlign w:val="center"/>
          </w:tcPr>
          <w:p w14:paraId="76833906"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财经类相关专业</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32F9A7C"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3266" w:type="dxa"/>
            <w:tcBorders>
              <w:top w:val="single" w:sz="4" w:space="0" w:color="auto"/>
              <w:left w:val="nil"/>
              <w:bottom w:val="single" w:sz="4" w:space="0" w:color="auto"/>
              <w:right w:val="single" w:sz="4" w:space="0" w:color="auto"/>
            </w:tcBorders>
            <w:shd w:val="clear" w:color="000000" w:fill="FFFFFF"/>
            <w:vAlign w:val="center"/>
          </w:tcPr>
          <w:p w14:paraId="744651E6"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熟悉政府会计制度和高等学校财务制度且能熟练操作上海高校常用政府会计核算软件者优先。</w:t>
            </w:r>
          </w:p>
        </w:tc>
      </w:tr>
      <w:tr w:rsidR="00A10A54" w14:paraId="47FF305D" w14:textId="77777777" w:rsidTr="008E4AD3">
        <w:trPr>
          <w:trHeight w:val="1158"/>
          <w:jc w:val="center"/>
        </w:trPr>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14:paraId="27F87C20"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图书馆</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02BE8F3A" w14:textId="77777777" w:rsidR="00A10A54" w:rsidRDefault="00A10A54" w:rsidP="008E4AD3">
            <w:pPr>
              <w:jc w:val="center"/>
              <w:rPr>
                <w:rFonts w:ascii="仿宋" w:eastAsia="仿宋" w:hAnsi="仿宋" w:cs="宋体"/>
                <w:color w:val="000000"/>
                <w:kern w:val="0"/>
                <w:sz w:val="24"/>
              </w:rPr>
            </w:pPr>
            <w:r>
              <w:rPr>
                <w:rFonts w:ascii="仿宋" w:eastAsia="仿宋" w:hAnsi="仿宋" w:cs="宋体" w:hint="eastAsia"/>
                <w:color w:val="000000"/>
                <w:kern w:val="0"/>
                <w:sz w:val="24"/>
              </w:rPr>
              <w:t>其他专业技术</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63894F01"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信息技术支持与服务</w:t>
            </w:r>
          </w:p>
        </w:tc>
        <w:tc>
          <w:tcPr>
            <w:tcW w:w="1901" w:type="dxa"/>
            <w:tcBorders>
              <w:top w:val="single" w:sz="4" w:space="0" w:color="auto"/>
              <w:left w:val="nil"/>
              <w:bottom w:val="single" w:sz="4" w:space="0" w:color="auto"/>
              <w:right w:val="single" w:sz="4" w:space="0" w:color="auto"/>
            </w:tcBorders>
            <w:shd w:val="clear" w:color="000000" w:fill="FFFFFF"/>
            <w:vAlign w:val="center"/>
          </w:tcPr>
          <w:p w14:paraId="25A8B647"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计算机科学与技术、数据科学与大数据技术、网络工程等相关专业</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4659543"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3266" w:type="dxa"/>
            <w:tcBorders>
              <w:top w:val="single" w:sz="4" w:space="0" w:color="auto"/>
              <w:left w:val="nil"/>
              <w:bottom w:val="single" w:sz="4" w:space="0" w:color="auto"/>
              <w:right w:val="single" w:sz="4" w:space="0" w:color="auto"/>
            </w:tcBorders>
            <w:shd w:val="clear" w:color="000000" w:fill="FFFFFF"/>
            <w:vAlign w:val="center"/>
          </w:tcPr>
          <w:p w14:paraId="581C1284"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大学英语六级成绩需425分以上。</w:t>
            </w:r>
          </w:p>
        </w:tc>
      </w:tr>
      <w:tr w:rsidR="00A10A54" w14:paraId="4B9E9E84" w14:textId="77777777" w:rsidTr="008E4AD3">
        <w:trPr>
          <w:trHeight w:val="1158"/>
          <w:jc w:val="center"/>
        </w:trPr>
        <w:tc>
          <w:tcPr>
            <w:tcW w:w="8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3EF3488"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后勤保障处</w:t>
            </w:r>
          </w:p>
        </w:tc>
        <w:tc>
          <w:tcPr>
            <w:tcW w:w="860" w:type="dxa"/>
            <w:tcBorders>
              <w:top w:val="single" w:sz="4" w:space="0" w:color="auto"/>
              <w:left w:val="nil"/>
              <w:bottom w:val="single" w:sz="4" w:space="0" w:color="auto"/>
              <w:right w:val="single" w:sz="4" w:space="0" w:color="auto"/>
            </w:tcBorders>
            <w:shd w:val="clear" w:color="000000" w:fill="FFFFFF"/>
            <w:vAlign w:val="center"/>
          </w:tcPr>
          <w:p w14:paraId="2ABF0998" w14:textId="77777777" w:rsidR="00A10A54" w:rsidRDefault="00A10A54" w:rsidP="008E4AD3">
            <w:pPr>
              <w:jc w:val="center"/>
              <w:rPr>
                <w:rFonts w:ascii="仿宋" w:eastAsia="仿宋" w:hAnsi="仿宋" w:cs="宋体"/>
                <w:sz w:val="24"/>
              </w:rPr>
            </w:pPr>
            <w:r>
              <w:rPr>
                <w:rFonts w:ascii="仿宋" w:eastAsia="仿宋" w:hAnsi="仿宋" w:cs="宋体" w:hint="eastAsia"/>
                <w:sz w:val="24"/>
              </w:rPr>
              <w:t>其他专业技术</w:t>
            </w:r>
          </w:p>
        </w:tc>
        <w:tc>
          <w:tcPr>
            <w:tcW w:w="1376" w:type="dxa"/>
            <w:tcBorders>
              <w:top w:val="single" w:sz="4" w:space="0" w:color="auto"/>
              <w:left w:val="nil"/>
              <w:bottom w:val="single" w:sz="4" w:space="0" w:color="auto"/>
              <w:right w:val="single" w:sz="4" w:space="0" w:color="auto"/>
            </w:tcBorders>
            <w:shd w:val="clear" w:color="000000" w:fill="FFFFFF"/>
            <w:vAlign w:val="center"/>
          </w:tcPr>
          <w:p w14:paraId="7DDFCAEE"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医生</w:t>
            </w:r>
          </w:p>
        </w:tc>
        <w:tc>
          <w:tcPr>
            <w:tcW w:w="1901" w:type="dxa"/>
            <w:tcBorders>
              <w:top w:val="single" w:sz="4" w:space="0" w:color="auto"/>
              <w:left w:val="nil"/>
              <w:bottom w:val="single" w:sz="4" w:space="0" w:color="auto"/>
              <w:right w:val="single" w:sz="4" w:space="0" w:color="auto"/>
            </w:tcBorders>
            <w:shd w:val="clear" w:color="000000" w:fill="FFFFFF"/>
            <w:vAlign w:val="center"/>
          </w:tcPr>
          <w:p w14:paraId="0D790DF1"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医学相关专业</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818853A"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3266" w:type="dxa"/>
            <w:tcBorders>
              <w:top w:val="single" w:sz="4" w:space="0" w:color="auto"/>
              <w:left w:val="nil"/>
              <w:bottom w:val="single" w:sz="4" w:space="0" w:color="auto"/>
              <w:right w:val="single" w:sz="4" w:space="0" w:color="auto"/>
            </w:tcBorders>
            <w:shd w:val="clear" w:color="000000" w:fill="FFFFFF"/>
            <w:vAlign w:val="center"/>
          </w:tcPr>
          <w:p w14:paraId="5FBC087D" w14:textId="77777777" w:rsidR="00A10A54" w:rsidRDefault="00A10A54" w:rsidP="008E4AD3">
            <w:pPr>
              <w:widowControl/>
              <w:jc w:val="center"/>
              <w:rPr>
                <w:rFonts w:ascii="仿宋" w:eastAsia="仿宋" w:hAnsi="仿宋" w:cs="宋体"/>
                <w:b/>
                <w:bCs/>
                <w:color w:val="000000"/>
                <w:kern w:val="0"/>
                <w:sz w:val="24"/>
              </w:rPr>
            </w:pPr>
            <w:r>
              <w:rPr>
                <w:rFonts w:ascii="仿宋" w:eastAsia="仿宋" w:hAnsi="仿宋" w:cs="宋体" w:hint="eastAsia"/>
                <w:color w:val="000000"/>
                <w:kern w:val="0"/>
                <w:sz w:val="24"/>
              </w:rPr>
              <w:t>具有主治医师及以上职称的应聘人员学历可放宽至本科。</w:t>
            </w:r>
          </w:p>
        </w:tc>
      </w:tr>
      <w:tr w:rsidR="00A10A54" w14:paraId="05C71D85" w14:textId="77777777" w:rsidTr="008E4AD3">
        <w:trPr>
          <w:trHeight w:val="1771"/>
          <w:jc w:val="center"/>
        </w:trPr>
        <w:tc>
          <w:tcPr>
            <w:tcW w:w="808"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F341881" w14:textId="77777777" w:rsidR="00A10A54" w:rsidRDefault="00A10A54" w:rsidP="008E4AD3">
            <w:pPr>
              <w:widowControl/>
              <w:jc w:val="center"/>
              <w:rPr>
                <w:rFonts w:ascii="仿宋" w:eastAsia="仿宋" w:hAnsi="仿宋" w:cs="宋体"/>
                <w:color w:val="000000"/>
                <w:kern w:val="0"/>
                <w:sz w:val="24"/>
              </w:rPr>
            </w:pPr>
          </w:p>
        </w:tc>
        <w:tc>
          <w:tcPr>
            <w:tcW w:w="860" w:type="dxa"/>
            <w:tcBorders>
              <w:top w:val="nil"/>
              <w:left w:val="nil"/>
              <w:bottom w:val="single" w:sz="4" w:space="0" w:color="auto"/>
              <w:right w:val="single" w:sz="4" w:space="0" w:color="auto"/>
            </w:tcBorders>
            <w:shd w:val="clear" w:color="000000" w:fill="FFFFFF"/>
            <w:vAlign w:val="center"/>
          </w:tcPr>
          <w:p w14:paraId="2C9CCB94" w14:textId="77777777" w:rsidR="00A10A54" w:rsidRDefault="00A10A54" w:rsidP="008E4AD3">
            <w:pPr>
              <w:jc w:val="center"/>
              <w:rPr>
                <w:rFonts w:ascii="仿宋" w:eastAsia="仿宋" w:hAnsi="仿宋"/>
                <w:sz w:val="24"/>
              </w:rPr>
            </w:pPr>
            <w:r>
              <w:rPr>
                <w:rFonts w:ascii="仿宋" w:eastAsia="仿宋" w:hAnsi="仿宋" w:hint="eastAsia"/>
                <w:sz w:val="24"/>
              </w:rPr>
              <w:t>管理</w:t>
            </w:r>
          </w:p>
        </w:tc>
        <w:tc>
          <w:tcPr>
            <w:tcW w:w="1376" w:type="dxa"/>
            <w:tcBorders>
              <w:top w:val="nil"/>
              <w:left w:val="nil"/>
              <w:bottom w:val="single" w:sz="4" w:space="0" w:color="auto"/>
              <w:right w:val="single" w:sz="4" w:space="0" w:color="auto"/>
            </w:tcBorders>
            <w:shd w:val="clear" w:color="000000" w:fill="FFFFFF"/>
            <w:vAlign w:val="center"/>
          </w:tcPr>
          <w:p w14:paraId="163AC7E2"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维修管理</w:t>
            </w:r>
          </w:p>
        </w:tc>
        <w:tc>
          <w:tcPr>
            <w:tcW w:w="1901" w:type="dxa"/>
            <w:tcBorders>
              <w:top w:val="nil"/>
              <w:left w:val="nil"/>
              <w:bottom w:val="single" w:sz="4" w:space="0" w:color="auto"/>
              <w:right w:val="single" w:sz="4" w:space="0" w:color="auto"/>
            </w:tcBorders>
            <w:shd w:val="clear" w:color="000000" w:fill="FFFFFF"/>
            <w:vAlign w:val="center"/>
          </w:tcPr>
          <w:p w14:paraId="6812D7C8"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建筑学、土木工程、工程造价等相关专业</w:t>
            </w:r>
          </w:p>
        </w:tc>
        <w:tc>
          <w:tcPr>
            <w:tcW w:w="851" w:type="dxa"/>
            <w:tcBorders>
              <w:top w:val="nil"/>
              <w:left w:val="nil"/>
              <w:bottom w:val="single" w:sz="4" w:space="0" w:color="auto"/>
              <w:right w:val="single" w:sz="4" w:space="0" w:color="auto"/>
            </w:tcBorders>
            <w:shd w:val="clear" w:color="000000" w:fill="FFFFFF"/>
            <w:vAlign w:val="center"/>
          </w:tcPr>
          <w:p w14:paraId="35ECF3B7"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3266" w:type="dxa"/>
            <w:tcBorders>
              <w:top w:val="nil"/>
              <w:left w:val="nil"/>
              <w:bottom w:val="single" w:sz="4" w:space="0" w:color="auto"/>
              <w:right w:val="single" w:sz="4" w:space="0" w:color="auto"/>
            </w:tcBorders>
            <w:shd w:val="clear" w:color="000000" w:fill="FFFFFF"/>
            <w:vAlign w:val="center"/>
          </w:tcPr>
          <w:p w14:paraId="5E4E8813"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具有后勤管理、修缮工程监管相关工作经验、具备相关资格证书者优先。</w:t>
            </w:r>
          </w:p>
        </w:tc>
      </w:tr>
      <w:tr w:rsidR="00A10A54" w14:paraId="5C5F991C" w14:textId="77777777" w:rsidTr="008E4AD3">
        <w:trPr>
          <w:trHeight w:val="1225"/>
          <w:jc w:val="center"/>
        </w:trPr>
        <w:tc>
          <w:tcPr>
            <w:tcW w:w="808"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2C417E9" w14:textId="77777777" w:rsidR="00A10A54" w:rsidRDefault="00A10A54" w:rsidP="008E4AD3">
            <w:pPr>
              <w:widowControl/>
              <w:jc w:val="center"/>
              <w:rPr>
                <w:rFonts w:ascii="仿宋" w:eastAsia="仿宋" w:hAnsi="仿宋" w:cs="宋体"/>
                <w:color w:val="000000"/>
                <w:kern w:val="0"/>
                <w:sz w:val="24"/>
              </w:rPr>
            </w:pPr>
          </w:p>
        </w:tc>
        <w:tc>
          <w:tcPr>
            <w:tcW w:w="860" w:type="dxa"/>
            <w:tcBorders>
              <w:top w:val="nil"/>
              <w:left w:val="nil"/>
              <w:bottom w:val="single" w:sz="4" w:space="0" w:color="auto"/>
              <w:right w:val="single" w:sz="4" w:space="0" w:color="auto"/>
            </w:tcBorders>
            <w:shd w:val="clear" w:color="000000" w:fill="FFFFFF"/>
            <w:vAlign w:val="center"/>
          </w:tcPr>
          <w:p w14:paraId="77D62001" w14:textId="77777777" w:rsidR="00A10A54" w:rsidRDefault="00A10A54" w:rsidP="008E4AD3">
            <w:pPr>
              <w:jc w:val="center"/>
              <w:rPr>
                <w:rFonts w:ascii="仿宋" w:eastAsia="仿宋" w:hAnsi="仿宋"/>
                <w:sz w:val="24"/>
              </w:rPr>
            </w:pPr>
            <w:r>
              <w:rPr>
                <w:rFonts w:ascii="仿宋" w:eastAsia="仿宋" w:hAnsi="仿宋" w:hint="eastAsia"/>
                <w:sz w:val="24"/>
              </w:rPr>
              <w:t>管理</w:t>
            </w:r>
          </w:p>
        </w:tc>
        <w:tc>
          <w:tcPr>
            <w:tcW w:w="1376" w:type="dxa"/>
            <w:tcBorders>
              <w:top w:val="nil"/>
              <w:left w:val="nil"/>
              <w:bottom w:val="single" w:sz="4" w:space="0" w:color="auto"/>
              <w:right w:val="single" w:sz="4" w:space="0" w:color="auto"/>
            </w:tcBorders>
            <w:shd w:val="clear" w:color="000000" w:fill="FFFFFF"/>
            <w:vAlign w:val="center"/>
          </w:tcPr>
          <w:p w14:paraId="6C96C8D0"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公共设施管理</w:t>
            </w:r>
          </w:p>
        </w:tc>
        <w:tc>
          <w:tcPr>
            <w:tcW w:w="1901" w:type="dxa"/>
            <w:tcBorders>
              <w:top w:val="nil"/>
              <w:left w:val="nil"/>
              <w:bottom w:val="single" w:sz="4" w:space="0" w:color="auto"/>
              <w:right w:val="single" w:sz="4" w:space="0" w:color="auto"/>
            </w:tcBorders>
            <w:shd w:val="clear" w:color="000000" w:fill="FFFFFF"/>
            <w:vAlign w:val="center"/>
          </w:tcPr>
          <w:p w14:paraId="6FA2B68A"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工程管理等相关专业</w:t>
            </w:r>
          </w:p>
        </w:tc>
        <w:tc>
          <w:tcPr>
            <w:tcW w:w="851" w:type="dxa"/>
            <w:tcBorders>
              <w:top w:val="nil"/>
              <w:left w:val="nil"/>
              <w:bottom w:val="single" w:sz="4" w:space="0" w:color="auto"/>
              <w:right w:val="single" w:sz="4" w:space="0" w:color="auto"/>
            </w:tcBorders>
            <w:shd w:val="clear" w:color="000000" w:fill="FFFFFF"/>
            <w:vAlign w:val="center"/>
          </w:tcPr>
          <w:p w14:paraId="5041CA63"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3266" w:type="dxa"/>
            <w:tcBorders>
              <w:top w:val="nil"/>
              <w:left w:val="nil"/>
              <w:bottom w:val="single" w:sz="4" w:space="0" w:color="auto"/>
              <w:right w:val="single" w:sz="4" w:space="0" w:color="auto"/>
            </w:tcBorders>
            <w:shd w:val="clear" w:color="000000" w:fill="FFFFFF"/>
            <w:vAlign w:val="center"/>
          </w:tcPr>
          <w:p w14:paraId="06FE145B"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具有高校后勤、物业管理相关经验者优先。</w:t>
            </w:r>
          </w:p>
        </w:tc>
      </w:tr>
      <w:tr w:rsidR="00A10A54" w14:paraId="11D12BFB" w14:textId="77777777" w:rsidTr="008E4AD3">
        <w:trPr>
          <w:trHeight w:val="1225"/>
          <w:jc w:val="center"/>
        </w:trPr>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14:paraId="5A81ADE6"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保卫处</w:t>
            </w:r>
          </w:p>
        </w:tc>
        <w:tc>
          <w:tcPr>
            <w:tcW w:w="860" w:type="dxa"/>
            <w:tcBorders>
              <w:top w:val="nil"/>
              <w:left w:val="nil"/>
              <w:bottom w:val="single" w:sz="4" w:space="0" w:color="auto"/>
              <w:right w:val="single" w:sz="4" w:space="0" w:color="auto"/>
            </w:tcBorders>
            <w:shd w:val="clear" w:color="000000" w:fill="FFFFFF"/>
            <w:vAlign w:val="center"/>
          </w:tcPr>
          <w:p w14:paraId="3BF92B85" w14:textId="77777777" w:rsidR="00A10A54" w:rsidRDefault="00A10A54" w:rsidP="008E4AD3">
            <w:pPr>
              <w:jc w:val="center"/>
              <w:rPr>
                <w:rFonts w:ascii="仿宋" w:eastAsia="仿宋" w:hAnsi="仿宋"/>
                <w:sz w:val="24"/>
              </w:rPr>
            </w:pPr>
            <w:r>
              <w:rPr>
                <w:rFonts w:ascii="仿宋" w:eastAsia="仿宋" w:hAnsi="仿宋" w:hint="eastAsia"/>
                <w:sz w:val="24"/>
              </w:rPr>
              <w:t>管理</w:t>
            </w:r>
          </w:p>
        </w:tc>
        <w:tc>
          <w:tcPr>
            <w:tcW w:w="1376" w:type="dxa"/>
            <w:tcBorders>
              <w:top w:val="nil"/>
              <w:left w:val="nil"/>
              <w:bottom w:val="single" w:sz="4" w:space="0" w:color="auto"/>
              <w:right w:val="single" w:sz="4" w:space="0" w:color="auto"/>
            </w:tcBorders>
            <w:shd w:val="clear" w:color="000000" w:fill="FFFFFF"/>
            <w:vAlign w:val="center"/>
          </w:tcPr>
          <w:p w14:paraId="6107546C"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监控技防</w:t>
            </w:r>
          </w:p>
        </w:tc>
        <w:tc>
          <w:tcPr>
            <w:tcW w:w="1901" w:type="dxa"/>
            <w:tcBorders>
              <w:top w:val="nil"/>
              <w:left w:val="nil"/>
              <w:bottom w:val="single" w:sz="4" w:space="0" w:color="auto"/>
              <w:right w:val="single" w:sz="4" w:space="0" w:color="auto"/>
            </w:tcBorders>
            <w:shd w:val="clear" w:color="000000" w:fill="FFFFFF"/>
            <w:vAlign w:val="center"/>
          </w:tcPr>
          <w:p w14:paraId="713E9B88"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网络信息工程相关专业</w:t>
            </w:r>
          </w:p>
        </w:tc>
        <w:tc>
          <w:tcPr>
            <w:tcW w:w="851" w:type="dxa"/>
            <w:tcBorders>
              <w:top w:val="nil"/>
              <w:left w:val="nil"/>
              <w:bottom w:val="single" w:sz="4" w:space="0" w:color="auto"/>
              <w:right w:val="single" w:sz="4" w:space="0" w:color="auto"/>
            </w:tcBorders>
            <w:shd w:val="clear" w:color="000000" w:fill="FFFFFF"/>
            <w:vAlign w:val="center"/>
          </w:tcPr>
          <w:p w14:paraId="09E1AA9E"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3266" w:type="dxa"/>
            <w:tcBorders>
              <w:top w:val="nil"/>
              <w:left w:val="nil"/>
              <w:bottom w:val="single" w:sz="4" w:space="0" w:color="auto"/>
              <w:right w:val="single" w:sz="4" w:space="0" w:color="auto"/>
            </w:tcBorders>
            <w:shd w:val="clear" w:color="000000" w:fill="FFFFFF"/>
            <w:vAlign w:val="center"/>
          </w:tcPr>
          <w:p w14:paraId="315B2CC4" w14:textId="77777777" w:rsidR="00A10A54" w:rsidRDefault="00A10A54" w:rsidP="008E4AD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具有监控、安防（含消防）相关资格及智慧安防系统管理经验者优先。</w:t>
            </w:r>
          </w:p>
        </w:tc>
      </w:tr>
    </w:tbl>
    <w:p w14:paraId="2090E852" w14:textId="77777777" w:rsidR="00A10A54" w:rsidRDefault="00A10A54" w:rsidP="00A10A54"/>
    <w:p w14:paraId="1423550F" w14:textId="77777777" w:rsidR="00123B4B" w:rsidRPr="00A10A54" w:rsidRDefault="00123B4B"/>
    <w:sectPr w:rsidR="00123B4B" w:rsidRPr="00A10A54" w:rsidSect="00FE10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7E"/>
    <w:rsid w:val="00123B4B"/>
    <w:rsid w:val="0082777E"/>
    <w:rsid w:val="00A10A54"/>
    <w:rsid w:val="00FE1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841C1-0F58-4BF8-AA8E-AC3E17DD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A10A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李卿</dc:creator>
  <cp:keywords/>
  <dc:description/>
  <cp:lastModifiedBy>李卿</cp:lastModifiedBy>
  <cp:revision>3</cp:revision>
  <dcterms:created xsi:type="dcterms:W3CDTF">2024-04-30T05:10:00Z</dcterms:created>
  <dcterms:modified xsi:type="dcterms:W3CDTF">2024-04-30T05:11:00Z</dcterms:modified>
</cp:coreProperties>
</file>