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东莞市城建工程管理局2024</w:t>
      </w:r>
      <w:r>
        <w:rPr>
          <w:rFonts w:ascii="Times New Roman" w:hAnsi="Times New Roman" w:eastAsia="方正小标宋简体"/>
          <w:sz w:val="40"/>
          <w:szCs w:val="40"/>
        </w:rPr>
        <w:t>年自主</w:t>
      </w:r>
      <w:r>
        <w:rPr>
          <w:rFonts w:hint="eastAsia" w:ascii="Times New Roman" w:hAnsi="Times New Roman" w:eastAsia="方正小标宋简体"/>
          <w:sz w:val="40"/>
          <w:szCs w:val="40"/>
        </w:rPr>
        <w:t>（</w:t>
      </w:r>
      <w:r>
        <w:rPr>
          <w:rFonts w:ascii="Times New Roman" w:hAnsi="Times New Roman" w:eastAsia="方正小标宋简体"/>
          <w:sz w:val="40"/>
          <w:szCs w:val="40"/>
        </w:rPr>
        <w:t>公开</w:t>
      </w:r>
      <w:r>
        <w:rPr>
          <w:rFonts w:hint="eastAsia" w:ascii="Times New Roman" w:hAnsi="Times New Roman" w:eastAsia="方正小标宋简体"/>
          <w:sz w:val="40"/>
          <w:szCs w:val="40"/>
        </w:rPr>
        <w:t>）</w:t>
      </w:r>
      <w:r>
        <w:rPr>
          <w:rFonts w:ascii="Times New Roman" w:hAnsi="Times New Roman" w:eastAsia="方正小标宋简体"/>
          <w:sz w:val="40"/>
          <w:szCs w:val="40"/>
        </w:rPr>
        <w:t>招聘聘用人员岗位表</w:t>
      </w:r>
    </w:p>
    <w:tbl>
      <w:tblPr>
        <w:tblStyle w:val="2"/>
        <w:tblpPr w:leftFromText="180" w:rightFromText="180" w:vertAnchor="page" w:horzAnchor="margin" w:tblpY="20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第二类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土木工程（A0814）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土木类（</w:t>
            </w:r>
            <w:r>
              <w:rPr>
                <w:rFonts w:ascii="Times New Roman" w:hAnsi="Times New Roman" w:eastAsia="仿宋_GB2312"/>
                <w:sz w:val="24"/>
              </w:rPr>
              <w:t>B0811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建筑工程类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副高级工程师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45周岁以下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，需同时具备学历和职称技能要求。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土木类（</w:t>
            </w:r>
            <w:r>
              <w:rPr>
                <w:rFonts w:ascii="Times New Roman" w:hAnsi="Times New Roman" w:eastAsia="仿宋_GB2312"/>
                <w:sz w:val="24"/>
              </w:rPr>
              <w:t>B0811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建筑机电设备安装专业工程师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45周岁以下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，需同时具备学历和职称技能要求。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工程造价管理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土木类（</w:t>
            </w:r>
            <w:r>
              <w:rPr>
                <w:rFonts w:ascii="Times New Roman" w:hAnsi="Times New Roman" w:eastAsia="仿宋_GB2312"/>
                <w:sz w:val="24"/>
              </w:rPr>
              <w:t>B0811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一级造价工程师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45周岁以下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，需同时具备学历和职称技能要求。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004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土木工程（B081101）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建筑电气与智能化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（B081104）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智能建造（B081107）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工程信息化管理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第五类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计算机科学与技术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（B080901）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软件工程（B080902）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信息安全（B080904）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征地拆迁管理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第五类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10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</w:p>
    <w:p>
      <w:bookmarkStart w:id="0" w:name="_GoBack"/>
      <w:bookmarkEnd w:id="0"/>
      <w:r>
        <w:rPr>
          <w:rFonts w:ascii="Times New Roman" w:hAnsi="Times New Roman" w:eastAsia="仿宋_GB2312"/>
          <w:sz w:val="24"/>
        </w:rPr>
        <w:t>备注：年龄和工作年限时间计算截止到</w:t>
      </w:r>
      <w:r>
        <w:rPr>
          <w:rFonts w:hint="eastAsia" w:ascii="Times New Roman" w:hAnsi="Times New Roman" w:eastAsia="仿宋_GB2312"/>
          <w:sz w:val="24"/>
        </w:rPr>
        <w:t>2024</w:t>
      </w:r>
      <w:r>
        <w:rPr>
          <w:rFonts w:ascii="Times New Roman" w:hAnsi="Times New Roman" w:eastAsia="仿宋_GB2312"/>
          <w:sz w:val="24"/>
        </w:rPr>
        <w:t>年</w:t>
      </w:r>
      <w:r>
        <w:rPr>
          <w:rFonts w:hint="eastAsia" w:ascii="Times New Roman" w:hAnsi="Times New Roman" w:eastAsia="仿宋_GB2312"/>
          <w:sz w:val="24"/>
        </w:rPr>
        <w:t>5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hint="eastAsia" w:ascii="Times New Roman" w:hAnsi="Times New Roman" w:eastAsia="仿宋_GB2312"/>
          <w:sz w:val="24"/>
        </w:rPr>
        <w:t>31</w:t>
      </w:r>
      <w:r>
        <w:rPr>
          <w:rFonts w:ascii="Times New Roman" w:hAnsi="Times New Roman" w:eastAsia="仿宋_GB2312"/>
          <w:sz w:val="24"/>
        </w:rPr>
        <w:t>日。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C1A54"/>
    <w:rsid w:val="74D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2024-05-14T02:55:00Z</dcterms:created>
  <dc:creator>hp</dc:creator>
  <cp:lastModifiedBy>hp</cp:lastModifiedBy>
  <dcterms:modified xsi:type="dcterms:W3CDTF">2024-05-14T02:56:16Z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