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cs="Times New Roman" w:asciiTheme="majorEastAsia" w:hAnsiTheme="majorEastAsia" w:eastAsiaTheme="majorEastAsia"/>
          <w:bCs/>
          <w:kern w:val="0"/>
          <w:sz w:val="24"/>
          <w:szCs w:val="44"/>
        </w:rPr>
      </w:pPr>
      <w:r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</w:rPr>
        <w:t>附件5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聊城市妇幼保健院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2024年高层次人才引进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JiNGE1OTc1OWQ3NzJlNjBjNGI2ODI4ZWE4OGZhMDA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68C43AB5"/>
    <w:rsid w:val="6DFFDADC"/>
    <w:rsid w:val="D627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autoRedefine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6</TotalTime>
  <ScaleCrop>false</ScaleCrop>
  <LinksUpToDate>false</LinksUpToDate>
  <CharactersWithSpaces>267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2021-01-25T18:17:00Z</dcterms:created>
  <dc:creator>Users</dc:creator>
  <cp:lastModifiedBy>Administrator</cp:lastModifiedBy>
  <cp:lastPrinted>2021-01-25T19:27:00Z</cp:lastPrinted>
  <dcterms:modified xsi:type="dcterms:W3CDTF">2024-03-01T02:03:39Z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3C3C0F65E60A4722A9BE634CF78A327B_12</vt:lpwstr>
  </property>
</Properties>
</file>