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ascii="宋体" w:cs="宋体"/>
          <w:w w:val="85"/>
          <w:kern w:val="0"/>
          <w:sz w:val="32"/>
          <w:szCs w:val="32"/>
        </w:rPr>
      </w:pPr>
      <w:bookmarkStart w:id="0" w:name="_Toc8473"/>
      <w:bookmarkStart w:id="1" w:name="_Toc2144"/>
      <w:bookmarkStart w:id="2" w:name="_Toc31079"/>
      <w:bookmarkStart w:id="3" w:name="_Toc6286_WPSOffice_Level1"/>
      <w:r>
        <w:rPr>
          <w:rFonts w:hint="eastAsia" w:ascii="楷体" w:hAnsi="楷体" w:eastAsia="楷体" w:cs="宋体"/>
          <w:w w:val="85"/>
          <w:kern w:val="0"/>
          <w:sz w:val="32"/>
          <w:szCs w:val="32"/>
        </w:rPr>
        <w:t>附件</w:t>
      </w:r>
      <w:r>
        <w:rPr>
          <w:rFonts w:hint="eastAsia" w:ascii="楷体" w:hAnsi="楷体" w:eastAsia="楷体" w:cs="宋体"/>
          <w:w w:val="85"/>
          <w:kern w:val="0"/>
          <w:sz w:val="32"/>
          <w:szCs w:val="32"/>
          <w:lang w:val="en-US" w:eastAsia="zh-CN"/>
        </w:rPr>
        <w:t>2</w:t>
      </w:r>
      <w:r>
        <w:rPr>
          <w:rFonts w:hint="eastAsia" w:ascii="宋体" w:hAnsi="宋体" w:cs="宋体"/>
          <w:w w:val="85"/>
          <w:kern w:val="0"/>
          <w:sz w:val="32"/>
          <w:szCs w:val="32"/>
        </w:rPr>
        <w:t>：</w:t>
      </w:r>
      <w:bookmarkEnd w:id="0"/>
      <w:bookmarkEnd w:id="1"/>
      <w:bookmarkEnd w:id="2"/>
    </w:p>
    <w:p>
      <w:pPr>
        <w:adjustRightInd w:val="0"/>
        <w:snapToGrid w:val="0"/>
        <w:spacing w:line="640" w:lineRule="exact"/>
        <w:jc w:val="center"/>
        <w:outlineLvl w:val="0"/>
        <w:rPr>
          <w:rFonts w:hint="eastAsia" w:ascii="方正小标宋简体" w:hAnsi="方正小标宋简体" w:eastAsia="方正小标宋简体" w:cs="方正小标宋简体"/>
          <w:b/>
          <w:w w:val="85"/>
          <w:kern w:val="0"/>
          <w:sz w:val="44"/>
          <w:szCs w:val="44"/>
        </w:rPr>
      </w:pPr>
      <w:bookmarkStart w:id="4" w:name="_Toc13263"/>
      <w:bookmarkStart w:id="5" w:name="_Toc31333"/>
      <w:bookmarkStart w:id="6" w:name="_Toc12834"/>
      <w:r>
        <w:rPr>
          <w:rFonts w:hint="eastAsia" w:ascii="方正小标宋简体" w:hAnsi="方正小标宋简体" w:eastAsia="方正小标宋简体" w:cs="方正小标宋简体"/>
          <w:b/>
          <w:w w:val="85"/>
          <w:kern w:val="0"/>
          <w:sz w:val="44"/>
          <w:szCs w:val="44"/>
        </w:rPr>
        <w:t>厦门市同安区所属</w:t>
      </w:r>
      <w:r>
        <w:rPr>
          <w:rFonts w:hint="eastAsia" w:ascii="方正小标宋简体" w:hAnsi="方正小标宋简体" w:eastAsia="方正小标宋简体" w:cs="方正小标宋简体"/>
          <w:b/>
          <w:w w:val="85"/>
          <w:kern w:val="0"/>
          <w:sz w:val="44"/>
          <w:szCs w:val="44"/>
          <w:lang w:eastAsia="zh-CN"/>
        </w:rPr>
        <w:t>卫生</w:t>
      </w:r>
      <w:r>
        <w:rPr>
          <w:rFonts w:hint="eastAsia" w:ascii="方正小标宋简体" w:hAnsi="方正小标宋简体" w:eastAsia="方正小标宋简体" w:cs="方正小标宋简体"/>
          <w:b/>
          <w:w w:val="85"/>
          <w:kern w:val="0"/>
          <w:sz w:val="44"/>
          <w:szCs w:val="44"/>
        </w:rPr>
        <w:t>事业单位</w:t>
      </w:r>
      <w:bookmarkEnd w:id="4"/>
      <w:bookmarkEnd w:id="5"/>
      <w:bookmarkEnd w:id="6"/>
    </w:p>
    <w:p>
      <w:pPr>
        <w:adjustRightInd w:val="0"/>
        <w:snapToGrid w:val="0"/>
        <w:spacing w:line="560" w:lineRule="exact"/>
        <w:jc w:val="center"/>
        <w:rPr>
          <w:rFonts w:hint="eastAsia" w:ascii="方正小标宋简体" w:hAnsi="方正小标宋简体" w:eastAsia="方正小标宋简体" w:cs="方正小标宋简体"/>
          <w:b/>
          <w:color w:val="auto"/>
          <w:w w:val="85"/>
          <w:kern w:val="0"/>
          <w:sz w:val="44"/>
          <w:szCs w:val="44"/>
        </w:rPr>
      </w:pPr>
      <w:r>
        <w:rPr>
          <w:rFonts w:hint="eastAsia" w:ascii="方正小标宋简体" w:hAnsi="方正小标宋简体" w:eastAsia="方正小标宋简体" w:cs="方正小标宋简体"/>
          <w:b/>
          <w:w w:val="85"/>
          <w:kern w:val="0"/>
          <w:sz w:val="44"/>
          <w:szCs w:val="44"/>
          <w:lang w:eastAsia="zh-CN"/>
        </w:rPr>
        <w:t>公开</w:t>
      </w:r>
      <w:r>
        <w:rPr>
          <w:rFonts w:hint="eastAsia" w:ascii="方正小标宋简体" w:hAnsi="方正小标宋简体" w:eastAsia="方正小标宋简体" w:cs="方正小标宋简体"/>
          <w:b/>
          <w:w w:val="85"/>
          <w:kern w:val="0"/>
          <w:sz w:val="44"/>
          <w:szCs w:val="44"/>
        </w:rPr>
        <w:t>招聘工作人员报考须</w:t>
      </w:r>
      <w:r>
        <w:rPr>
          <w:rFonts w:hint="eastAsia" w:ascii="方正小标宋简体" w:hAnsi="方正小标宋简体" w:eastAsia="方正小标宋简体" w:cs="方正小标宋简体"/>
          <w:b/>
          <w:color w:val="auto"/>
          <w:w w:val="85"/>
          <w:kern w:val="0"/>
          <w:sz w:val="44"/>
          <w:szCs w:val="44"/>
        </w:rPr>
        <w:t>知（</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月</w:t>
      </w:r>
      <w:r>
        <w:rPr>
          <w:rFonts w:hint="eastAsia" w:ascii="方正小标宋简体" w:hAnsi="方正小标宋简体" w:eastAsia="方正小标宋简体" w:cs="方正小标宋简体"/>
          <w:b/>
          <w:color w:val="auto"/>
          <w:w w:val="85"/>
          <w:kern w:val="0"/>
          <w:sz w:val="44"/>
          <w:szCs w:val="44"/>
        </w:rPr>
        <w:t>）</w:t>
      </w:r>
      <w:bookmarkEnd w:id="3"/>
    </w:p>
    <w:p>
      <w:pPr>
        <w:adjustRightInd w:val="0"/>
        <w:snapToGrid w:val="0"/>
        <w:spacing w:line="560" w:lineRule="exact"/>
        <w:jc w:val="center"/>
        <w:outlineLvl w:val="0"/>
        <w:rPr>
          <w:rFonts w:hint="eastAsia" w:ascii="方正小标宋简体" w:hAnsi="方正小标宋简体" w:eastAsia="方正小标宋简体" w:cs="方正小标宋简体"/>
          <w:b/>
          <w:w w:val="85"/>
          <w:kern w:val="0"/>
          <w:sz w:val="44"/>
          <w:szCs w:val="44"/>
        </w:rPr>
      </w:pPr>
      <w:bookmarkStart w:id="7" w:name="_Toc3400"/>
      <w:bookmarkStart w:id="8" w:name="_Toc14432"/>
      <w:bookmarkStart w:id="9" w:name="_Toc11925"/>
      <w:r>
        <w:rPr>
          <w:rFonts w:hint="eastAsia" w:ascii="方正小标宋简体" w:hAnsi="方正小标宋简体" w:eastAsia="方正小标宋简体" w:cs="方正小标宋简体"/>
          <w:b/>
          <w:w w:val="85"/>
          <w:kern w:val="0"/>
          <w:sz w:val="44"/>
          <w:szCs w:val="44"/>
        </w:rPr>
        <w:t>目录</w:t>
      </w:r>
      <w:bookmarkEnd w:id="7"/>
      <w:bookmarkEnd w:id="8"/>
      <w:bookmarkEnd w:id="9"/>
    </w:p>
    <w:sdt>
      <w:sdtPr>
        <w:rPr>
          <w:rFonts w:ascii="宋体" w:hAnsi="宋体" w:eastAsia="宋体" w:cs="Times New Roman"/>
          <w:kern w:val="2"/>
          <w:sz w:val="21"/>
          <w:szCs w:val="22"/>
          <w:lang w:val="en-US" w:eastAsia="zh-CN" w:bidi="ar-SA"/>
        </w:rPr>
        <w:id w:val="147460702"/>
        <w15:color w:val="DBDBDB"/>
        <w:docPartObj>
          <w:docPartGallery w:val="Table of Contents"/>
          <w:docPartUnique/>
        </w:docPartObj>
      </w:sdtPr>
      <w:sdtEndPr>
        <w:rPr>
          <w:rFonts w:ascii="Calibri" w:hAnsi="Calibri" w:eastAsia="宋体" w:cs="Times New Roman"/>
          <w:kern w:val="2"/>
          <w:sz w:val="24"/>
          <w:szCs w:val="24"/>
          <w:lang w:val="en-US" w:eastAsia="zh-CN" w:bidi="ar-SA"/>
        </w:rPr>
      </w:sdtEndPr>
      <w:sdtContent>
        <w:p>
          <w:pPr>
            <w:adjustRightInd w:val="0"/>
            <w:snapToGrid w:val="0"/>
            <w:spacing w:line="560" w:lineRule="exact"/>
            <w:jc w:val="both"/>
            <w:rPr>
              <w:sz w:val="24"/>
              <w:szCs w:val="24"/>
            </w:rPr>
          </w:pPr>
          <w:r>
            <w:rPr>
              <w:sz w:val="24"/>
              <w:szCs w:val="24"/>
            </w:rPr>
            <w:fldChar w:fldCharType="begin"/>
          </w:r>
          <w:r>
            <w:rPr>
              <w:sz w:val="24"/>
              <w:szCs w:val="24"/>
            </w:rPr>
            <w:instrText xml:space="preserve">TOC \o "1-3" \h \u </w:instrText>
          </w:r>
          <w:r>
            <w:rPr>
              <w:sz w:val="24"/>
              <w:szCs w:val="24"/>
            </w:rPr>
            <w:fldChar w:fldCharType="separate"/>
          </w:r>
        </w:p>
        <w:p>
          <w:pPr>
            <w:pStyle w:val="11"/>
            <w:tabs>
              <w:tab w:val="right" w:leader="dot" w:pos="8844"/>
            </w:tabs>
            <w:rPr>
              <w:sz w:val="24"/>
              <w:szCs w:val="24"/>
            </w:rPr>
          </w:pPr>
          <w:r>
            <w:rPr>
              <w:sz w:val="24"/>
              <w:szCs w:val="24"/>
            </w:rPr>
            <w:fldChar w:fldCharType="begin"/>
          </w:r>
          <w:r>
            <w:rPr>
              <w:sz w:val="24"/>
              <w:szCs w:val="24"/>
            </w:rPr>
            <w:instrText xml:space="preserve"> HYPERLINK \l _Toc2170 </w:instrText>
          </w:r>
          <w:r>
            <w:rPr>
              <w:sz w:val="24"/>
              <w:szCs w:val="24"/>
            </w:rPr>
            <w:fldChar w:fldCharType="separate"/>
          </w:r>
          <w:r>
            <w:rPr>
              <w:rFonts w:hint="eastAsia"/>
              <w:sz w:val="24"/>
              <w:szCs w:val="24"/>
            </w:rPr>
            <w:t>一、基本条件</w:t>
          </w:r>
          <w:r>
            <w:rPr>
              <w:sz w:val="24"/>
              <w:szCs w:val="24"/>
            </w:rPr>
            <w:tab/>
          </w:r>
          <w:r>
            <w:rPr>
              <w:sz w:val="24"/>
              <w:szCs w:val="24"/>
            </w:rPr>
            <w:fldChar w:fldCharType="begin"/>
          </w:r>
          <w:r>
            <w:rPr>
              <w:sz w:val="24"/>
              <w:szCs w:val="24"/>
            </w:rPr>
            <w:instrText xml:space="preserve"> PAGEREF _Toc2170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_Toc2749 </w:instrText>
          </w:r>
          <w:r>
            <w:rPr>
              <w:sz w:val="24"/>
              <w:szCs w:val="24"/>
            </w:rPr>
            <w:fldChar w:fldCharType="separate"/>
          </w:r>
          <w:r>
            <w:rPr>
              <w:rFonts w:hint="eastAsia"/>
              <w:sz w:val="24"/>
              <w:szCs w:val="24"/>
            </w:rPr>
            <w:t>二、不得报考或取消报考（聘用）资格的情形</w:t>
          </w:r>
          <w:r>
            <w:rPr>
              <w:sz w:val="24"/>
              <w:szCs w:val="24"/>
            </w:rPr>
            <w:tab/>
          </w:r>
          <w:r>
            <w:rPr>
              <w:sz w:val="24"/>
              <w:szCs w:val="24"/>
            </w:rPr>
            <w:fldChar w:fldCharType="begin"/>
          </w:r>
          <w:r>
            <w:rPr>
              <w:sz w:val="24"/>
              <w:szCs w:val="24"/>
            </w:rPr>
            <w:instrText xml:space="preserve"> PAGEREF _Toc2749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_Toc14874 </w:instrText>
          </w:r>
          <w:r>
            <w:rPr>
              <w:sz w:val="24"/>
              <w:szCs w:val="24"/>
            </w:rPr>
            <w:fldChar w:fldCharType="separate"/>
          </w:r>
          <w:r>
            <w:rPr>
              <w:rFonts w:hint="eastAsia"/>
              <w:sz w:val="24"/>
              <w:szCs w:val="24"/>
            </w:rPr>
            <w:t>三、选报岗位</w:t>
          </w:r>
          <w:r>
            <w:rPr>
              <w:sz w:val="24"/>
              <w:szCs w:val="24"/>
            </w:rPr>
            <w:tab/>
          </w:r>
          <w:r>
            <w:rPr>
              <w:sz w:val="24"/>
              <w:szCs w:val="24"/>
            </w:rPr>
            <w:fldChar w:fldCharType="begin"/>
          </w:r>
          <w:r>
            <w:rPr>
              <w:sz w:val="24"/>
              <w:szCs w:val="24"/>
            </w:rPr>
            <w:instrText xml:space="preserve"> PAGEREF _Toc14874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_Toc5249 </w:instrText>
          </w:r>
          <w:r>
            <w:rPr>
              <w:sz w:val="24"/>
              <w:szCs w:val="24"/>
            </w:rPr>
            <w:fldChar w:fldCharType="separate"/>
          </w:r>
          <w:r>
            <w:rPr>
              <w:rFonts w:hint="eastAsia"/>
              <w:sz w:val="24"/>
              <w:szCs w:val="24"/>
            </w:rPr>
            <w:t>（一）报考条件确认</w:t>
          </w:r>
          <w:r>
            <w:rPr>
              <w:sz w:val="24"/>
              <w:szCs w:val="24"/>
            </w:rPr>
            <w:tab/>
          </w:r>
          <w:r>
            <w:rPr>
              <w:sz w:val="24"/>
              <w:szCs w:val="24"/>
            </w:rPr>
            <w:fldChar w:fldCharType="begin"/>
          </w:r>
          <w:r>
            <w:rPr>
              <w:sz w:val="24"/>
              <w:szCs w:val="24"/>
            </w:rPr>
            <w:instrText xml:space="preserve"> PAGEREF _Toc5249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_Toc27395 </w:instrText>
          </w:r>
          <w:r>
            <w:rPr>
              <w:sz w:val="24"/>
              <w:szCs w:val="24"/>
            </w:rPr>
            <w:fldChar w:fldCharType="separate"/>
          </w:r>
          <w:r>
            <w:rPr>
              <w:rFonts w:hint="eastAsia"/>
              <w:sz w:val="24"/>
              <w:szCs w:val="24"/>
            </w:rPr>
            <w:t>（二）照片要求</w:t>
          </w:r>
          <w:r>
            <w:rPr>
              <w:sz w:val="24"/>
              <w:szCs w:val="24"/>
            </w:rPr>
            <w:tab/>
          </w:r>
          <w:r>
            <w:rPr>
              <w:sz w:val="24"/>
              <w:szCs w:val="24"/>
            </w:rPr>
            <w:fldChar w:fldCharType="begin"/>
          </w:r>
          <w:r>
            <w:rPr>
              <w:sz w:val="24"/>
              <w:szCs w:val="24"/>
            </w:rPr>
            <w:instrText xml:space="preserve"> PAGEREF _Toc27395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_Toc6349 </w:instrText>
          </w:r>
          <w:r>
            <w:rPr>
              <w:sz w:val="24"/>
              <w:szCs w:val="24"/>
            </w:rPr>
            <w:fldChar w:fldCharType="separate"/>
          </w:r>
          <w:r>
            <w:rPr>
              <w:rFonts w:hint="eastAsia" w:ascii="宋体" w:hAnsi="宋体" w:eastAsia="宋体" w:cs="宋体"/>
              <w:bCs w:val="0"/>
              <w:kern w:val="2"/>
              <w:sz w:val="24"/>
              <w:szCs w:val="24"/>
              <w:lang w:val="en-US" w:eastAsia="zh-CN" w:bidi="ar-SA"/>
            </w:rPr>
            <w:t>（三）个人简历</w:t>
          </w:r>
          <w:r>
            <w:rPr>
              <w:sz w:val="24"/>
              <w:szCs w:val="24"/>
            </w:rPr>
            <w:tab/>
          </w:r>
          <w:r>
            <w:rPr>
              <w:sz w:val="24"/>
              <w:szCs w:val="24"/>
            </w:rPr>
            <w:fldChar w:fldCharType="begin"/>
          </w:r>
          <w:r>
            <w:rPr>
              <w:sz w:val="24"/>
              <w:szCs w:val="24"/>
            </w:rPr>
            <w:instrText xml:space="preserve"> PAGEREF _Toc6349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_Toc5170 </w:instrText>
          </w:r>
          <w:r>
            <w:rPr>
              <w:sz w:val="24"/>
              <w:szCs w:val="24"/>
            </w:rPr>
            <w:fldChar w:fldCharType="separate"/>
          </w:r>
          <w:r>
            <w:rPr>
              <w:rFonts w:hint="eastAsia"/>
              <w:sz w:val="24"/>
              <w:szCs w:val="24"/>
            </w:rPr>
            <w:t>（四）回避情形</w:t>
          </w:r>
          <w:r>
            <w:rPr>
              <w:sz w:val="24"/>
              <w:szCs w:val="24"/>
            </w:rPr>
            <w:tab/>
          </w:r>
          <w:r>
            <w:rPr>
              <w:sz w:val="24"/>
              <w:szCs w:val="24"/>
            </w:rPr>
            <w:fldChar w:fldCharType="begin"/>
          </w:r>
          <w:r>
            <w:rPr>
              <w:sz w:val="24"/>
              <w:szCs w:val="24"/>
            </w:rPr>
            <w:instrText xml:space="preserve"> PAGEREF _Toc5170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_Toc2469 </w:instrText>
          </w:r>
          <w:r>
            <w:rPr>
              <w:sz w:val="24"/>
              <w:szCs w:val="24"/>
            </w:rPr>
            <w:fldChar w:fldCharType="separate"/>
          </w:r>
          <w:r>
            <w:rPr>
              <w:rFonts w:hint="eastAsia"/>
              <w:sz w:val="24"/>
              <w:szCs w:val="24"/>
            </w:rPr>
            <w:t>四、年龄、资格（历）等的计算办法</w:t>
          </w:r>
          <w:r>
            <w:rPr>
              <w:sz w:val="24"/>
              <w:szCs w:val="24"/>
            </w:rPr>
            <w:tab/>
          </w:r>
          <w:r>
            <w:rPr>
              <w:sz w:val="24"/>
              <w:szCs w:val="24"/>
            </w:rPr>
            <w:fldChar w:fldCharType="begin"/>
          </w:r>
          <w:r>
            <w:rPr>
              <w:sz w:val="24"/>
              <w:szCs w:val="24"/>
            </w:rPr>
            <w:instrText xml:space="preserve"> PAGEREF _Toc2469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_Toc20631 </w:instrText>
          </w:r>
          <w:r>
            <w:rPr>
              <w:sz w:val="24"/>
              <w:szCs w:val="24"/>
            </w:rPr>
            <w:fldChar w:fldCharType="separate"/>
          </w:r>
          <w:r>
            <w:rPr>
              <w:rFonts w:hint="eastAsia"/>
              <w:sz w:val="24"/>
              <w:szCs w:val="24"/>
            </w:rPr>
            <w:t>（一）年龄</w:t>
          </w:r>
          <w:r>
            <w:rPr>
              <w:sz w:val="24"/>
              <w:szCs w:val="24"/>
            </w:rPr>
            <w:tab/>
          </w:r>
          <w:r>
            <w:rPr>
              <w:sz w:val="24"/>
              <w:szCs w:val="24"/>
            </w:rPr>
            <w:fldChar w:fldCharType="begin"/>
          </w:r>
          <w:r>
            <w:rPr>
              <w:sz w:val="24"/>
              <w:szCs w:val="24"/>
            </w:rPr>
            <w:instrText xml:space="preserve"> PAGEREF _Toc20631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_Toc11088 </w:instrText>
          </w:r>
          <w:r>
            <w:rPr>
              <w:sz w:val="24"/>
              <w:szCs w:val="24"/>
            </w:rPr>
            <w:fldChar w:fldCharType="separate"/>
          </w:r>
          <w:r>
            <w:rPr>
              <w:rFonts w:hint="eastAsia"/>
              <w:sz w:val="24"/>
              <w:szCs w:val="24"/>
            </w:rPr>
            <w:t>（二）资格（历）等</w:t>
          </w:r>
          <w:r>
            <w:rPr>
              <w:sz w:val="24"/>
              <w:szCs w:val="24"/>
            </w:rPr>
            <w:tab/>
          </w:r>
          <w:r>
            <w:rPr>
              <w:sz w:val="24"/>
              <w:szCs w:val="24"/>
            </w:rPr>
            <w:fldChar w:fldCharType="begin"/>
          </w:r>
          <w:r>
            <w:rPr>
              <w:sz w:val="24"/>
              <w:szCs w:val="24"/>
            </w:rPr>
            <w:instrText xml:space="preserve"> PAGEREF _Toc11088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_Toc23589 </w:instrText>
          </w:r>
          <w:r>
            <w:rPr>
              <w:sz w:val="24"/>
              <w:szCs w:val="24"/>
            </w:rPr>
            <w:fldChar w:fldCharType="separate"/>
          </w:r>
          <w:r>
            <w:rPr>
              <w:rFonts w:hint="eastAsia"/>
              <w:sz w:val="24"/>
              <w:szCs w:val="24"/>
            </w:rPr>
            <w:t>五、 学历（位）认定</w:t>
          </w:r>
          <w:r>
            <w:rPr>
              <w:sz w:val="24"/>
              <w:szCs w:val="24"/>
            </w:rPr>
            <w:tab/>
          </w:r>
          <w:r>
            <w:rPr>
              <w:sz w:val="24"/>
              <w:szCs w:val="24"/>
            </w:rPr>
            <w:fldChar w:fldCharType="begin"/>
          </w:r>
          <w:r>
            <w:rPr>
              <w:sz w:val="24"/>
              <w:szCs w:val="24"/>
            </w:rPr>
            <w:instrText xml:space="preserve"> PAGEREF _Toc23589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_Toc22424 </w:instrText>
          </w:r>
          <w:r>
            <w:rPr>
              <w:sz w:val="24"/>
              <w:szCs w:val="24"/>
            </w:rPr>
            <w:fldChar w:fldCharType="separate"/>
          </w:r>
          <w:r>
            <w:rPr>
              <w:rFonts w:hint="eastAsia"/>
              <w:sz w:val="24"/>
              <w:szCs w:val="24"/>
            </w:rPr>
            <w:t>（一）境内学历（位）</w:t>
          </w:r>
          <w:r>
            <w:rPr>
              <w:sz w:val="24"/>
              <w:szCs w:val="24"/>
            </w:rPr>
            <w:tab/>
          </w:r>
          <w:r>
            <w:rPr>
              <w:sz w:val="24"/>
              <w:szCs w:val="24"/>
            </w:rPr>
            <w:fldChar w:fldCharType="begin"/>
          </w:r>
          <w:r>
            <w:rPr>
              <w:sz w:val="24"/>
              <w:szCs w:val="24"/>
            </w:rPr>
            <w:instrText xml:space="preserve"> PAGEREF _Toc22424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_Toc2202 </w:instrText>
          </w:r>
          <w:r>
            <w:rPr>
              <w:sz w:val="24"/>
              <w:szCs w:val="24"/>
            </w:rPr>
            <w:fldChar w:fldCharType="separate"/>
          </w:r>
          <w:r>
            <w:rPr>
              <w:rFonts w:hint="eastAsia"/>
              <w:sz w:val="24"/>
              <w:szCs w:val="24"/>
            </w:rPr>
            <w:t>（二）第二学士学位</w:t>
          </w:r>
          <w:r>
            <w:rPr>
              <w:sz w:val="24"/>
              <w:szCs w:val="24"/>
            </w:rPr>
            <w:tab/>
          </w:r>
          <w:r>
            <w:rPr>
              <w:sz w:val="24"/>
              <w:szCs w:val="24"/>
            </w:rPr>
            <w:fldChar w:fldCharType="begin"/>
          </w:r>
          <w:r>
            <w:rPr>
              <w:sz w:val="24"/>
              <w:szCs w:val="24"/>
            </w:rPr>
            <w:instrText xml:space="preserve"> PAGEREF _Toc2202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_Toc25585 </w:instrText>
          </w:r>
          <w:r>
            <w:rPr>
              <w:sz w:val="24"/>
              <w:szCs w:val="24"/>
            </w:rPr>
            <w:fldChar w:fldCharType="separate"/>
          </w:r>
          <w:r>
            <w:rPr>
              <w:rFonts w:hint="eastAsia"/>
              <w:sz w:val="24"/>
              <w:szCs w:val="24"/>
            </w:rPr>
            <w:t>（</w:t>
          </w:r>
          <w:r>
            <w:rPr>
              <w:rFonts w:hint="eastAsia"/>
              <w:sz w:val="24"/>
              <w:szCs w:val="24"/>
              <w:lang w:eastAsia="zh-CN"/>
            </w:rPr>
            <w:t>三</w:t>
          </w:r>
          <w:r>
            <w:rPr>
              <w:rFonts w:hint="eastAsia"/>
              <w:sz w:val="24"/>
              <w:szCs w:val="24"/>
            </w:rPr>
            <w:t>）境外学历（位）</w:t>
          </w:r>
          <w:r>
            <w:rPr>
              <w:sz w:val="24"/>
              <w:szCs w:val="24"/>
            </w:rPr>
            <w:tab/>
          </w:r>
          <w:r>
            <w:rPr>
              <w:sz w:val="24"/>
              <w:szCs w:val="24"/>
            </w:rPr>
            <w:fldChar w:fldCharType="begin"/>
          </w:r>
          <w:r>
            <w:rPr>
              <w:sz w:val="24"/>
              <w:szCs w:val="24"/>
            </w:rPr>
            <w:instrText xml:space="preserve"> PAGEREF _Toc25585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_Toc15746 </w:instrText>
          </w:r>
          <w:r>
            <w:rPr>
              <w:sz w:val="24"/>
              <w:szCs w:val="24"/>
            </w:rPr>
            <w:fldChar w:fldCharType="separate"/>
          </w:r>
          <w:r>
            <w:rPr>
              <w:rFonts w:hint="eastAsia"/>
              <w:sz w:val="24"/>
              <w:szCs w:val="24"/>
            </w:rPr>
            <w:t>（</w:t>
          </w:r>
          <w:r>
            <w:rPr>
              <w:rFonts w:hint="eastAsia"/>
              <w:sz w:val="24"/>
              <w:szCs w:val="24"/>
              <w:lang w:eastAsia="zh-CN"/>
            </w:rPr>
            <w:t>四</w:t>
          </w:r>
          <w:r>
            <w:rPr>
              <w:rFonts w:hint="eastAsia"/>
              <w:sz w:val="24"/>
              <w:szCs w:val="24"/>
            </w:rPr>
            <w:t>）我省“双学位”“双专业”学历</w:t>
          </w:r>
          <w:r>
            <w:rPr>
              <w:sz w:val="24"/>
              <w:szCs w:val="24"/>
            </w:rPr>
            <w:tab/>
          </w:r>
          <w:r>
            <w:rPr>
              <w:sz w:val="24"/>
              <w:szCs w:val="24"/>
            </w:rPr>
            <w:fldChar w:fldCharType="begin"/>
          </w:r>
          <w:r>
            <w:rPr>
              <w:sz w:val="24"/>
              <w:szCs w:val="24"/>
            </w:rPr>
            <w:instrText xml:space="preserve"> PAGEREF _Toc15746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_Toc2557 </w:instrText>
          </w:r>
          <w:r>
            <w:rPr>
              <w:sz w:val="24"/>
              <w:szCs w:val="24"/>
            </w:rPr>
            <w:fldChar w:fldCharType="separate"/>
          </w:r>
          <w:r>
            <w:rPr>
              <w:rFonts w:hint="eastAsia"/>
              <w:sz w:val="24"/>
              <w:szCs w:val="24"/>
            </w:rPr>
            <w:t>（</w:t>
          </w:r>
          <w:r>
            <w:rPr>
              <w:rFonts w:hint="eastAsia"/>
              <w:sz w:val="24"/>
              <w:szCs w:val="24"/>
              <w:lang w:eastAsia="zh-CN"/>
            </w:rPr>
            <w:t>五</w:t>
          </w:r>
          <w:r>
            <w:rPr>
              <w:rFonts w:hint="eastAsia"/>
              <w:sz w:val="24"/>
              <w:szCs w:val="24"/>
            </w:rPr>
            <w:t>）提醒事项</w:t>
          </w:r>
          <w:r>
            <w:rPr>
              <w:sz w:val="24"/>
              <w:szCs w:val="24"/>
            </w:rPr>
            <w:tab/>
          </w:r>
          <w:r>
            <w:rPr>
              <w:sz w:val="24"/>
              <w:szCs w:val="24"/>
            </w:rPr>
            <w:fldChar w:fldCharType="begin"/>
          </w:r>
          <w:r>
            <w:rPr>
              <w:sz w:val="24"/>
              <w:szCs w:val="24"/>
            </w:rPr>
            <w:instrText xml:space="preserve"> PAGEREF _Toc2557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_Toc1334 </w:instrText>
          </w:r>
          <w:r>
            <w:rPr>
              <w:sz w:val="24"/>
              <w:szCs w:val="24"/>
            </w:rPr>
            <w:fldChar w:fldCharType="separate"/>
          </w:r>
          <w:r>
            <w:rPr>
              <w:rFonts w:hint="eastAsia"/>
              <w:sz w:val="24"/>
              <w:szCs w:val="24"/>
            </w:rPr>
            <w:t>六、专业</w:t>
          </w:r>
          <w:r>
            <w:rPr>
              <w:sz w:val="24"/>
              <w:szCs w:val="24"/>
            </w:rPr>
            <w:tab/>
          </w:r>
          <w:r>
            <w:rPr>
              <w:sz w:val="24"/>
              <w:szCs w:val="24"/>
            </w:rPr>
            <w:fldChar w:fldCharType="begin"/>
          </w:r>
          <w:r>
            <w:rPr>
              <w:sz w:val="24"/>
              <w:szCs w:val="24"/>
            </w:rPr>
            <w:instrText xml:space="preserve"> PAGEREF _Toc1334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_Toc27907 </w:instrText>
          </w:r>
          <w:r>
            <w:rPr>
              <w:sz w:val="24"/>
              <w:szCs w:val="24"/>
            </w:rPr>
            <w:fldChar w:fldCharType="separate"/>
          </w:r>
          <w:r>
            <w:rPr>
              <w:rFonts w:hint="eastAsia"/>
              <w:sz w:val="24"/>
              <w:szCs w:val="24"/>
            </w:rPr>
            <w:t>（一）填报专业名称</w:t>
          </w:r>
          <w:r>
            <w:rPr>
              <w:sz w:val="24"/>
              <w:szCs w:val="24"/>
            </w:rPr>
            <w:tab/>
          </w:r>
          <w:r>
            <w:rPr>
              <w:sz w:val="24"/>
              <w:szCs w:val="24"/>
            </w:rPr>
            <w:fldChar w:fldCharType="begin"/>
          </w:r>
          <w:r>
            <w:rPr>
              <w:sz w:val="24"/>
              <w:szCs w:val="24"/>
            </w:rPr>
            <w:instrText xml:space="preserve"> PAGEREF _Toc27907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_Toc30436 </w:instrText>
          </w:r>
          <w:r>
            <w:rPr>
              <w:sz w:val="24"/>
              <w:szCs w:val="24"/>
            </w:rPr>
            <w:fldChar w:fldCharType="separate"/>
          </w:r>
          <w:r>
            <w:rPr>
              <w:rFonts w:hint="eastAsia"/>
              <w:sz w:val="24"/>
              <w:szCs w:val="24"/>
            </w:rPr>
            <w:t>（二）专业与学历（位）的对应关系</w:t>
          </w:r>
          <w:r>
            <w:rPr>
              <w:sz w:val="24"/>
              <w:szCs w:val="24"/>
            </w:rPr>
            <w:tab/>
          </w:r>
          <w:r>
            <w:rPr>
              <w:sz w:val="24"/>
              <w:szCs w:val="24"/>
            </w:rPr>
            <w:fldChar w:fldCharType="begin"/>
          </w:r>
          <w:r>
            <w:rPr>
              <w:sz w:val="24"/>
              <w:szCs w:val="24"/>
            </w:rPr>
            <w:instrText xml:space="preserve"> PAGEREF _Toc30436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_Toc27734 </w:instrText>
          </w:r>
          <w:r>
            <w:rPr>
              <w:sz w:val="24"/>
              <w:szCs w:val="24"/>
            </w:rPr>
            <w:fldChar w:fldCharType="separate"/>
          </w:r>
          <w:r>
            <w:rPr>
              <w:rFonts w:hint="eastAsia"/>
              <w:sz w:val="24"/>
              <w:szCs w:val="24"/>
            </w:rPr>
            <w:t>（三）专业资格的认定</w:t>
          </w:r>
          <w:r>
            <w:rPr>
              <w:sz w:val="24"/>
              <w:szCs w:val="24"/>
            </w:rPr>
            <w:tab/>
          </w:r>
          <w:r>
            <w:rPr>
              <w:sz w:val="24"/>
              <w:szCs w:val="24"/>
            </w:rPr>
            <w:fldChar w:fldCharType="begin"/>
          </w:r>
          <w:r>
            <w:rPr>
              <w:sz w:val="24"/>
              <w:szCs w:val="24"/>
            </w:rPr>
            <w:instrText xml:space="preserve"> PAGEREF _Toc27734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_Toc3567 </w:instrText>
          </w:r>
          <w:r>
            <w:rPr>
              <w:sz w:val="24"/>
              <w:szCs w:val="24"/>
            </w:rPr>
            <w:fldChar w:fldCharType="separate"/>
          </w:r>
          <w:r>
            <w:rPr>
              <w:rFonts w:hint="eastAsia"/>
              <w:sz w:val="24"/>
              <w:szCs w:val="24"/>
            </w:rPr>
            <w:t>七、工作</w:t>
          </w:r>
          <w:r>
            <w:rPr>
              <w:rFonts w:hint="eastAsia"/>
              <w:sz w:val="24"/>
              <w:szCs w:val="24"/>
              <w:lang w:eastAsia="zh-CN"/>
            </w:rPr>
            <w:t>经历（验）</w:t>
          </w:r>
          <w:r>
            <w:rPr>
              <w:sz w:val="24"/>
              <w:szCs w:val="24"/>
            </w:rPr>
            <w:tab/>
          </w:r>
          <w:r>
            <w:rPr>
              <w:sz w:val="24"/>
              <w:szCs w:val="24"/>
            </w:rPr>
            <w:fldChar w:fldCharType="begin"/>
          </w:r>
          <w:r>
            <w:rPr>
              <w:sz w:val="24"/>
              <w:szCs w:val="24"/>
            </w:rPr>
            <w:instrText xml:space="preserve"> PAGEREF _Toc3567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_Toc12738 </w:instrText>
          </w:r>
          <w:r>
            <w:rPr>
              <w:sz w:val="24"/>
              <w:szCs w:val="24"/>
            </w:rPr>
            <w:fldChar w:fldCharType="separate"/>
          </w:r>
          <w:r>
            <w:rPr>
              <w:rFonts w:hint="eastAsia"/>
              <w:sz w:val="24"/>
              <w:szCs w:val="24"/>
              <w:highlight w:val="none"/>
            </w:rPr>
            <w:t>八、可免笔试情形</w:t>
          </w:r>
          <w:r>
            <w:rPr>
              <w:sz w:val="24"/>
              <w:szCs w:val="24"/>
            </w:rPr>
            <w:tab/>
          </w:r>
          <w:r>
            <w:rPr>
              <w:sz w:val="24"/>
              <w:szCs w:val="24"/>
            </w:rPr>
            <w:fldChar w:fldCharType="begin"/>
          </w:r>
          <w:r>
            <w:rPr>
              <w:sz w:val="24"/>
              <w:szCs w:val="24"/>
            </w:rPr>
            <w:instrText xml:space="preserve"> PAGEREF _Toc12738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_Toc16673 </w:instrText>
          </w:r>
          <w:r>
            <w:rPr>
              <w:sz w:val="24"/>
              <w:szCs w:val="24"/>
            </w:rPr>
            <w:fldChar w:fldCharType="separate"/>
          </w:r>
          <w:r>
            <w:rPr>
              <w:rFonts w:hint="eastAsia"/>
              <w:sz w:val="24"/>
              <w:szCs w:val="24"/>
            </w:rPr>
            <w:t>九、岗位开考比例</w:t>
          </w:r>
          <w:r>
            <w:rPr>
              <w:sz w:val="24"/>
              <w:szCs w:val="24"/>
            </w:rPr>
            <w:tab/>
          </w:r>
          <w:r>
            <w:rPr>
              <w:sz w:val="24"/>
              <w:szCs w:val="24"/>
            </w:rPr>
            <w:fldChar w:fldCharType="begin"/>
          </w:r>
          <w:r>
            <w:rPr>
              <w:sz w:val="24"/>
              <w:szCs w:val="24"/>
            </w:rPr>
            <w:instrText xml:space="preserve"> PAGEREF _Toc16673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_Toc9325 </w:instrText>
          </w:r>
          <w:r>
            <w:rPr>
              <w:sz w:val="24"/>
              <w:szCs w:val="24"/>
            </w:rPr>
            <w:fldChar w:fldCharType="separate"/>
          </w:r>
          <w:r>
            <w:rPr>
              <w:rFonts w:hint="eastAsia"/>
              <w:sz w:val="24"/>
              <w:szCs w:val="24"/>
            </w:rPr>
            <w:t>十、笔试加分</w:t>
          </w:r>
          <w:r>
            <w:rPr>
              <w:sz w:val="24"/>
              <w:szCs w:val="24"/>
            </w:rPr>
            <w:tab/>
          </w:r>
          <w:r>
            <w:rPr>
              <w:sz w:val="24"/>
              <w:szCs w:val="24"/>
            </w:rPr>
            <w:fldChar w:fldCharType="begin"/>
          </w:r>
          <w:r>
            <w:rPr>
              <w:sz w:val="24"/>
              <w:szCs w:val="24"/>
            </w:rPr>
            <w:instrText xml:space="preserve"> PAGEREF _Toc9325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_Toc126 </w:instrText>
          </w:r>
          <w:r>
            <w:rPr>
              <w:sz w:val="24"/>
              <w:szCs w:val="24"/>
            </w:rPr>
            <w:fldChar w:fldCharType="separate"/>
          </w:r>
          <w:r>
            <w:rPr>
              <w:rFonts w:hint="eastAsia"/>
              <w:sz w:val="24"/>
              <w:szCs w:val="24"/>
            </w:rPr>
            <w:t>（一）加分原则</w:t>
          </w:r>
          <w:r>
            <w:rPr>
              <w:sz w:val="24"/>
              <w:szCs w:val="24"/>
            </w:rPr>
            <w:tab/>
          </w:r>
          <w:r>
            <w:rPr>
              <w:sz w:val="24"/>
              <w:szCs w:val="24"/>
            </w:rPr>
            <w:fldChar w:fldCharType="begin"/>
          </w:r>
          <w:r>
            <w:rPr>
              <w:sz w:val="24"/>
              <w:szCs w:val="24"/>
            </w:rPr>
            <w:instrText xml:space="preserve"> PAGEREF _Toc126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_Toc27612 </w:instrText>
          </w:r>
          <w:r>
            <w:rPr>
              <w:sz w:val="24"/>
              <w:szCs w:val="24"/>
            </w:rPr>
            <w:fldChar w:fldCharType="separate"/>
          </w:r>
          <w:r>
            <w:rPr>
              <w:rFonts w:hint="eastAsia"/>
              <w:sz w:val="24"/>
              <w:szCs w:val="24"/>
            </w:rPr>
            <w:t>（二）加分对象</w:t>
          </w:r>
          <w:r>
            <w:rPr>
              <w:sz w:val="24"/>
              <w:szCs w:val="24"/>
            </w:rPr>
            <w:tab/>
          </w:r>
          <w:r>
            <w:rPr>
              <w:sz w:val="24"/>
              <w:szCs w:val="24"/>
            </w:rPr>
            <w:fldChar w:fldCharType="begin"/>
          </w:r>
          <w:r>
            <w:rPr>
              <w:sz w:val="24"/>
              <w:szCs w:val="24"/>
            </w:rPr>
            <w:instrText xml:space="preserve"> PAGEREF _Toc27612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7"/>
            <w:tabs>
              <w:tab w:val="right" w:leader="dot" w:pos="8844"/>
            </w:tabs>
            <w:rPr>
              <w:sz w:val="24"/>
              <w:szCs w:val="24"/>
            </w:rPr>
          </w:pPr>
          <w:r>
            <w:rPr>
              <w:sz w:val="24"/>
              <w:szCs w:val="24"/>
            </w:rPr>
            <w:fldChar w:fldCharType="begin"/>
          </w:r>
          <w:r>
            <w:rPr>
              <w:sz w:val="24"/>
              <w:szCs w:val="24"/>
            </w:rPr>
            <w:instrText xml:space="preserve"> HYPERLINK \l _Toc14020 </w:instrText>
          </w:r>
          <w:r>
            <w:rPr>
              <w:sz w:val="24"/>
              <w:szCs w:val="24"/>
            </w:rPr>
            <w:fldChar w:fldCharType="separate"/>
          </w:r>
          <w:r>
            <w:rPr>
              <w:rFonts w:hint="eastAsia"/>
              <w:sz w:val="24"/>
              <w:szCs w:val="24"/>
            </w:rPr>
            <w:t>1.服务基层项目高校毕业人员</w:t>
          </w:r>
          <w:r>
            <w:rPr>
              <w:sz w:val="24"/>
              <w:szCs w:val="24"/>
            </w:rPr>
            <w:tab/>
          </w:r>
          <w:r>
            <w:rPr>
              <w:sz w:val="24"/>
              <w:szCs w:val="24"/>
            </w:rPr>
            <w:fldChar w:fldCharType="begin"/>
          </w:r>
          <w:r>
            <w:rPr>
              <w:sz w:val="24"/>
              <w:szCs w:val="24"/>
            </w:rPr>
            <w:instrText xml:space="preserve"> PAGEREF _Toc14020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7"/>
            <w:tabs>
              <w:tab w:val="right" w:leader="dot" w:pos="8844"/>
            </w:tabs>
            <w:rPr>
              <w:sz w:val="24"/>
              <w:szCs w:val="24"/>
            </w:rPr>
          </w:pPr>
          <w:r>
            <w:rPr>
              <w:sz w:val="24"/>
              <w:szCs w:val="24"/>
            </w:rPr>
            <w:fldChar w:fldCharType="begin"/>
          </w:r>
          <w:r>
            <w:rPr>
              <w:sz w:val="24"/>
              <w:szCs w:val="24"/>
            </w:rPr>
            <w:instrText xml:space="preserve"> HYPERLINK \l _Toc19444 </w:instrText>
          </w:r>
          <w:r>
            <w:rPr>
              <w:sz w:val="24"/>
              <w:szCs w:val="24"/>
            </w:rPr>
            <w:fldChar w:fldCharType="separate"/>
          </w:r>
          <w:r>
            <w:rPr>
              <w:rFonts w:hint="eastAsia"/>
              <w:sz w:val="24"/>
              <w:szCs w:val="24"/>
            </w:rPr>
            <w:t>2.退役士兵（含大学生退役士兵）</w:t>
          </w:r>
          <w:r>
            <w:rPr>
              <w:sz w:val="24"/>
              <w:szCs w:val="24"/>
            </w:rPr>
            <w:tab/>
          </w:r>
          <w:r>
            <w:rPr>
              <w:sz w:val="24"/>
              <w:szCs w:val="24"/>
            </w:rPr>
            <w:fldChar w:fldCharType="begin"/>
          </w:r>
          <w:r>
            <w:rPr>
              <w:sz w:val="24"/>
              <w:szCs w:val="24"/>
            </w:rPr>
            <w:instrText xml:space="preserve"> PAGEREF _Toc19444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7"/>
            <w:tabs>
              <w:tab w:val="right" w:leader="dot" w:pos="8844"/>
            </w:tabs>
            <w:rPr>
              <w:sz w:val="24"/>
              <w:szCs w:val="24"/>
            </w:rPr>
          </w:pPr>
          <w:r>
            <w:rPr>
              <w:sz w:val="24"/>
              <w:szCs w:val="24"/>
            </w:rPr>
            <w:fldChar w:fldCharType="begin"/>
          </w:r>
          <w:r>
            <w:rPr>
              <w:sz w:val="24"/>
              <w:szCs w:val="24"/>
            </w:rPr>
            <w:instrText xml:space="preserve"> HYPERLINK \l _Toc5084 </w:instrText>
          </w:r>
          <w:r>
            <w:rPr>
              <w:sz w:val="24"/>
              <w:szCs w:val="24"/>
            </w:rPr>
            <w:fldChar w:fldCharType="separate"/>
          </w:r>
          <w:r>
            <w:rPr>
              <w:rFonts w:hint="eastAsia"/>
              <w:sz w:val="24"/>
              <w:szCs w:val="24"/>
            </w:rPr>
            <w:t>3.退役优秀运动员</w:t>
          </w:r>
          <w:r>
            <w:rPr>
              <w:sz w:val="24"/>
              <w:szCs w:val="24"/>
            </w:rPr>
            <w:tab/>
          </w:r>
          <w:r>
            <w:rPr>
              <w:sz w:val="24"/>
              <w:szCs w:val="24"/>
            </w:rPr>
            <w:fldChar w:fldCharType="begin"/>
          </w:r>
          <w:r>
            <w:rPr>
              <w:sz w:val="24"/>
              <w:szCs w:val="24"/>
            </w:rPr>
            <w:instrText xml:space="preserve"> PAGEREF _Toc5084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_Toc10800 </w:instrText>
          </w:r>
          <w:r>
            <w:rPr>
              <w:sz w:val="24"/>
              <w:szCs w:val="24"/>
            </w:rPr>
            <w:fldChar w:fldCharType="separate"/>
          </w:r>
          <w:r>
            <w:rPr>
              <w:rFonts w:hint="eastAsia"/>
              <w:sz w:val="24"/>
              <w:szCs w:val="24"/>
            </w:rPr>
            <w:t>（三）加分证明材料</w:t>
          </w:r>
          <w:r>
            <w:rPr>
              <w:sz w:val="24"/>
              <w:szCs w:val="24"/>
            </w:rPr>
            <w:tab/>
          </w:r>
          <w:r>
            <w:rPr>
              <w:sz w:val="24"/>
              <w:szCs w:val="24"/>
            </w:rPr>
            <w:fldChar w:fldCharType="begin"/>
          </w:r>
          <w:r>
            <w:rPr>
              <w:sz w:val="24"/>
              <w:szCs w:val="24"/>
            </w:rPr>
            <w:instrText xml:space="preserve"> PAGEREF _Toc10800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_Toc20414 </w:instrText>
          </w:r>
          <w:r>
            <w:rPr>
              <w:sz w:val="24"/>
              <w:szCs w:val="24"/>
            </w:rPr>
            <w:fldChar w:fldCharType="separate"/>
          </w:r>
          <w:r>
            <w:rPr>
              <w:rFonts w:hint="eastAsia"/>
              <w:sz w:val="24"/>
              <w:szCs w:val="24"/>
            </w:rPr>
            <w:t>十一、综合总分计算</w:t>
          </w:r>
          <w:r>
            <w:rPr>
              <w:sz w:val="24"/>
              <w:szCs w:val="24"/>
            </w:rPr>
            <w:tab/>
          </w:r>
          <w:r>
            <w:rPr>
              <w:sz w:val="24"/>
              <w:szCs w:val="24"/>
            </w:rPr>
            <w:fldChar w:fldCharType="begin"/>
          </w:r>
          <w:r>
            <w:rPr>
              <w:sz w:val="24"/>
              <w:szCs w:val="24"/>
            </w:rPr>
            <w:instrText xml:space="preserve"> PAGEREF _Toc20414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_Toc19816 </w:instrText>
          </w:r>
          <w:r>
            <w:rPr>
              <w:sz w:val="24"/>
              <w:szCs w:val="24"/>
            </w:rPr>
            <w:fldChar w:fldCharType="separate"/>
          </w:r>
          <w:r>
            <w:rPr>
              <w:rFonts w:hint="eastAsia"/>
              <w:sz w:val="24"/>
              <w:szCs w:val="24"/>
            </w:rPr>
            <w:t>十二、体检和考察</w:t>
          </w:r>
          <w:r>
            <w:rPr>
              <w:sz w:val="24"/>
              <w:szCs w:val="24"/>
            </w:rPr>
            <w:tab/>
          </w:r>
          <w:r>
            <w:rPr>
              <w:sz w:val="24"/>
              <w:szCs w:val="24"/>
            </w:rPr>
            <w:fldChar w:fldCharType="begin"/>
          </w:r>
          <w:r>
            <w:rPr>
              <w:sz w:val="24"/>
              <w:szCs w:val="24"/>
            </w:rPr>
            <w:instrText xml:space="preserve"> PAGEREF _Toc19816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_Toc20893 </w:instrText>
          </w:r>
          <w:r>
            <w:rPr>
              <w:sz w:val="24"/>
              <w:szCs w:val="24"/>
            </w:rPr>
            <w:fldChar w:fldCharType="separate"/>
          </w:r>
          <w:r>
            <w:rPr>
              <w:rFonts w:hint="eastAsia"/>
              <w:sz w:val="24"/>
              <w:szCs w:val="24"/>
            </w:rPr>
            <w:t>（一）确定体检人选</w:t>
          </w:r>
          <w:r>
            <w:rPr>
              <w:sz w:val="24"/>
              <w:szCs w:val="24"/>
            </w:rPr>
            <w:tab/>
          </w:r>
          <w:r>
            <w:rPr>
              <w:sz w:val="24"/>
              <w:szCs w:val="24"/>
            </w:rPr>
            <w:fldChar w:fldCharType="begin"/>
          </w:r>
          <w:r>
            <w:rPr>
              <w:sz w:val="24"/>
              <w:szCs w:val="24"/>
            </w:rPr>
            <w:instrText xml:space="preserve"> PAGEREF _Toc20893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_Toc13525 </w:instrText>
          </w:r>
          <w:r>
            <w:rPr>
              <w:sz w:val="24"/>
              <w:szCs w:val="24"/>
            </w:rPr>
            <w:fldChar w:fldCharType="separate"/>
          </w:r>
          <w:r>
            <w:rPr>
              <w:rFonts w:hint="eastAsia"/>
              <w:sz w:val="24"/>
              <w:szCs w:val="24"/>
            </w:rPr>
            <w:t>（二）组织体检</w:t>
          </w:r>
          <w:r>
            <w:rPr>
              <w:sz w:val="24"/>
              <w:szCs w:val="24"/>
            </w:rPr>
            <w:tab/>
          </w:r>
          <w:r>
            <w:rPr>
              <w:sz w:val="24"/>
              <w:szCs w:val="24"/>
            </w:rPr>
            <w:fldChar w:fldCharType="begin"/>
          </w:r>
          <w:r>
            <w:rPr>
              <w:sz w:val="24"/>
              <w:szCs w:val="24"/>
            </w:rPr>
            <w:instrText xml:space="preserve"> PAGEREF _Toc13525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_Toc17752 </w:instrText>
          </w:r>
          <w:r>
            <w:rPr>
              <w:sz w:val="24"/>
              <w:szCs w:val="24"/>
            </w:rPr>
            <w:fldChar w:fldCharType="separate"/>
          </w:r>
          <w:r>
            <w:rPr>
              <w:rFonts w:hint="eastAsia"/>
              <w:sz w:val="24"/>
              <w:szCs w:val="24"/>
            </w:rPr>
            <w:t>（三）体检依据</w:t>
          </w:r>
          <w:r>
            <w:rPr>
              <w:sz w:val="24"/>
              <w:szCs w:val="24"/>
            </w:rPr>
            <w:tab/>
          </w:r>
          <w:r>
            <w:rPr>
              <w:sz w:val="24"/>
              <w:szCs w:val="24"/>
            </w:rPr>
            <w:fldChar w:fldCharType="begin"/>
          </w:r>
          <w:r>
            <w:rPr>
              <w:sz w:val="24"/>
              <w:szCs w:val="24"/>
            </w:rPr>
            <w:instrText xml:space="preserve"> PAGEREF _Toc17752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_Toc2107 </w:instrText>
          </w:r>
          <w:r>
            <w:rPr>
              <w:sz w:val="24"/>
              <w:szCs w:val="24"/>
            </w:rPr>
            <w:fldChar w:fldCharType="separate"/>
          </w:r>
          <w:r>
            <w:rPr>
              <w:rFonts w:hint="eastAsia"/>
              <w:sz w:val="24"/>
              <w:szCs w:val="24"/>
            </w:rPr>
            <w:t>（四）体检复检</w:t>
          </w:r>
          <w:r>
            <w:rPr>
              <w:sz w:val="24"/>
              <w:szCs w:val="24"/>
            </w:rPr>
            <w:tab/>
          </w:r>
          <w:r>
            <w:rPr>
              <w:sz w:val="24"/>
              <w:szCs w:val="24"/>
            </w:rPr>
            <w:fldChar w:fldCharType="begin"/>
          </w:r>
          <w:r>
            <w:rPr>
              <w:sz w:val="24"/>
              <w:szCs w:val="24"/>
            </w:rPr>
            <w:instrText xml:space="preserve"> PAGEREF _Toc2107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_Toc14719 </w:instrText>
          </w:r>
          <w:r>
            <w:rPr>
              <w:sz w:val="24"/>
              <w:szCs w:val="24"/>
            </w:rPr>
            <w:fldChar w:fldCharType="separate"/>
          </w:r>
          <w:r>
            <w:rPr>
              <w:rFonts w:hint="eastAsia"/>
              <w:sz w:val="24"/>
              <w:szCs w:val="24"/>
            </w:rPr>
            <w:t>（五）可延迟体检的情形</w:t>
          </w:r>
          <w:r>
            <w:rPr>
              <w:sz w:val="24"/>
              <w:szCs w:val="24"/>
            </w:rPr>
            <w:tab/>
          </w:r>
          <w:r>
            <w:rPr>
              <w:sz w:val="24"/>
              <w:szCs w:val="24"/>
            </w:rPr>
            <w:fldChar w:fldCharType="begin"/>
          </w:r>
          <w:r>
            <w:rPr>
              <w:sz w:val="24"/>
              <w:szCs w:val="24"/>
            </w:rPr>
            <w:instrText xml:space="preserve"> PAGEREF _Toc14719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_Toc29278 </w:instrText>
          </w:r>
          <w:r>
            <w:rPr>
              <w:sz w:val="24"/>
              <w:szCs w:val="24"/>
            </w:rPr>
            <w:fldChar w:fldCharType="separate"/>
          </w:r>
          <w:r>
            <w:rPr>
              <w:rFonts w:hint="eastAsia"/>
              <w:sz w:val="24"/>
              <w:szCs w:val="24"/>
            </w:rPr>
            <w:t>（六）考察</w:t>
          </w:r>
          <w:r>
            <w:rPr>
              <w:sz w:val="24"/>
              <w:szCs w:val="24"/>
            </w:rPr>
            <w:tab/>
          </w:r>
          <w:r>
            <w:rPr>
              <w:sz w:val="24"/>
              <w:szCs w:val="24"/>
            </w:rPr>
            <w:fldChar w:fldCharType="begin"/>
          </w:r>
          <w:r>
            <w:rPr>
              <w:sz w:val="24"/>
              <w:szCs w:val="24"/>
            </w:rPr>
            <w:instrText xml:space="preserve"> PAGEREF _Toc29278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_Toc29292 </w:instrText>
          </w:r>
          <w:r>
            <w:rPr>
              <w:sz w:val="24"/>
              <w:szCs w:val="24"/>
            </w:rPr>
            <w:fldChar w:fldCharType="separate"/>
          </w:r>
          <w:r>
            <w:rPr>
              <w:rFonts w:hint="eastAsia"/>
              <w:sz w:val="24"/>
              <w:szCs w:val="24"/>
            </w:rPr>
            <w:t>十三、公示</w:t>
          </w:r>
          <w:r>
            <w:rPr>
              <w:sz w:val="24"/>
              <w:szCs w:val="24"/>
            </w:rPr>
            <w:tab/>
          </w:r>
          <w:r>
            <w:rPr>
              <w:sz w:val="24"/>
              <w:szCs w:val="24"/>
            </w:rPr>
            <w:fldChar w:fldCharType="begin"/>
          </w:r>
          <w:r>
            <w:rPr>
              <w:sz w:val="24"/>
              <w:szCs w:val="24"/>
            </w:rPr>
            <w:instrText xml:space="preserve"> PAGEREF _Toc29292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_Toc49 </w:instrText>
          </w:r>
          <w:r>
            <w:rPr>
              <w:sz w:val="24"/>
              <w:szCs w:val="24"/>
            </w:rPr>
            <w:fldChar w:fldCharType="separate"/>
          </w:r>
          <w:r>
            <w:rPr>
              <w:rFonts w:hint="eastAsia"/>
              <w:sz w:val="24"/>
              <w:szCs w:val="24"/>
            </w:rPr>
            <w:t>十四、聘用办理</w:t>
          </w:r>
          <w:r>
            <w:rPr>
              <w:sz w:val="24"/>
              <w:szCs w:val="24"/>
            </w:rPr>
            <w:tab/>
          </w:r>
          <w:r>
            <w:rPr>
              <w:sz w:val="24"/>
              <w:szCs w:val="24"/>
            </w:rPr>
            <w:fldChar w:fldCharType="begin"/>
          </w:r>
          <w:r>
            <w:rPr>
              <w:sz w:val="24"/>
              <w:szCs w:val="24"/>
            </w:rPr>
            <w:instrText xml:space="preserve"> PAGEREF _Toc49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_Toc17219 </w:instrText>
          </w:r>
          <w:r>
            <w:rPr>
              <w:sz w:val="24"/>
              <w:szCs w:val="24"/>
            </w:rPr>
            <w:fldChar w:fldCharType="separate"/>
          </w:r>
          <w:r>
            <w:rPr>
              <w:rFonts w:hint="eastAsia"/>
              <w:sz w:val="24"/>
              <w:szCs w:val="24"/>
            </w:rPr>
            <w:t>（一）聘用手续办理</w:t>
          </w:r>
          <w:r>
            <w:rPr>
              <w:sz w:val="24"/>
              <w:szCs w:val="24"/>
            </w:rPr>
            <w:tab/>
          </w:r>
          <w:r>
            <w:rPr>
              <w:sz w:val="24"/>
              <w:szCs w:val="24"/>
            </w:rPr>
            <w:fldChar w:fldCharType="begin"/>
          </w:r>
          <w:r>
            <w:rPr>
              <w:sz w:val="24"/>
              <w:szCs w:val="24"/>
            </w:rPr>
            <w:instrText xml:space="preserve"> PAGEREF _Toc17219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_Toc12892 </w:instrText>
          </w:r>
          <w:r>
            <w:rPr>
              <w:sz w:val="24"/>
              <w:szCs w:val="24"/>
            </w:rPr>
            <w:fldChar w:fldCharType="separate"/>
          </w:r>
          <w:r>
            <w:rPr>
              <w:rFonts w:hint="eastAsia"/>
              <w:sz w:val="24"/>
              <w:szCs w:val="24"/>
            </w:rPr>
            <w:t>（二）岗位聘任</w:t>
          </w:r>
          <w:r>
            <w:rPr>
              <w:sz w:val="24"/>
              <w:szCs w:val="24"/>
            </w:rPr>
            <w:tab/>
          </w:r>
          <w:r>
            <w:rPr>
              <w:sz w:val="24"/>
              <w:szCs w:val="24"/>
            </w:rPr>
            <w:fldChar w:fldCharType="begin"/>
          </w:r>
          <w:r>
            <w:rPr>
              <w:sz w:val="24"/>
              <w:szCs w:val="24"/>
            </w:rPr>
            <w:instrText xml:space="preserve"> PAGEREF _Toc12892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_Toc981 </w:instrText>
          </w:r>
          <w:r>
            <w:rPr>
              <w:sz w:val="24"/>
              <w:szCs w:val="24"/>
            </w:rPr>
            <w:fldChar w:fldCharType="separate"/>
          </w:r>
          <w:r>
            <w:rPr>
              <w:rFonts w:hint="eastAsia"/>
              <w:sz w:val="24"/>
              <w:szCs w:val="24"/>
            </w:rPr>
            <w:t>十五、其他需说明事项</w:t>
          </w:r>
          <w:r>
            <w:rPr>
              <w:sz w:val="24"/>
              <w:szCs w:val="24"/>
            </w:rPr>
            <w:tab/>
          </w:r>
          <w:r>
            <w:rPr>
              <w:sz w:val="24"/>
              <w:szCs w:val="24"/>
            </w:rPr>
            <w:fldChar w:fldCharType="begin"/>
          </w:r>
          <w:r>
            <w:rPr>
              <w:sz w:val="24"/>
              <w:szCs w:val="24"/>
            </w:rPr>
            <w:instrText xml:space="preserve"> PAGEREF _Toc981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_Toc7179 </w:instrText>
          </w:r>
          <w:r>
            <w:rPr>
              <w:sz w:val="24"/>
              <w:szCs w:val="24"/>
            </w:rPr>
            <w:fldChar w:fldCharType="separate"/>
          </w:r>
          <w:r>
            <w:rPr>
              <w:rFonts w:hint="eastAsia" w:ascii="宋体" w:hAnsi="宋体" w:eastAsia="宋体" w:cs="宋体"/>
              <w:strike w:val="0"/>
              <w:dstrike w:val="0"/>
              <w:sz w:val="24"/>
              <w:szCs w:val="24"/>
            </w:rPr>
            <w:t>（一）</w:t>
          </w:r>
          <w:r>
            <w:rPr>
              <w:rFonts w:hint="eastAsia" w:ascii="宋体" w:hAnsi="宋体" w:eastAsia="宋体" w:cs="宋体"/>
              <w:sz w:val="24"/>
              <w:szCs w:val="24"/>
            </w:rPr>
            <w:t>职称</w:t>
          </w:r>
          <w:r>
            <w:rPr>
              <w:sz w:val="24"/>
              <w:szCs w:val="24"/>
            </w:rPr>
            <w:tab/>
          </w:r>
          <w:r>
            <w:rPr>
              <w:sz w:val="24"/>
              <w:szCs w:val="24"/>
            </w:rPr>
            <w:fldChar w:fldCharType="begin"/>
          </w:r>
          <w:r>
            <w:rPr>
              <w:sz w:val="24"/>
              <w:szCs w:val="24"/>
            </w:rPr>
            <w:instrText xml:space="preserve"> PAGEREF _Toc7179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_Toc12987 </w:instrText>
          </w:r>
          <w:r>
            <w:rPr>
              <w:sz w:val="24"/>
              <w:szCs w:val="24"/>
            </w:rPr>
            <w:fldChar w:fldCharType="separate"/>
          </w:r>
          <w:r>
            <w:rPr>
              <w:rFonts w:hint="eastAsia"/>
              <w:sz w:val="24"/>
              <w:szCs w:val="24"/>
            </w:rPr>
            <w:t>（二）生源</w:t>
          </w:r>
          <w:r>
            <w:rPr>
              <w:sz w:val="24"/>
              <w:szCs w:val="24"/>
            </w:rPr>
            <w:tab/>
          </w:r>
          <w:r>
            <w:rPr>
              <w:sz w:val="24"/>
              <w:szCs w:val="24"/>
            </w:rPr>
            <w:fldChar w:fldCharType="begin"/>
          </w:r>
          <w:r>
            <w:rPr>
              <w:sz w:val="24"/>
              <w:szCs w:val="24"/>
            </w:rPr>
            <w:instrText xml:space="preserve"> PAGEREF _Toc12987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_Toc293 </w:instrText>
          </w:r>
          <w:r>
            <w:rPr>
              <w:sz w:val="24"/>
              <w:szCs w:val="24"/>
            </w:rPr>
            <w:fldChar w:fldCharType="separate"/>
          </w:r>
          <w:r>
            <w:rPr>
              <w:rFonts w:hint="eastAsia"/>
              <w:sz w:val="24"/>
              <w:szCs w:val="24"/>
            </w:rPr>
            <w:t>（三）港澳台人员</w:t>
          </w:r>
          <w:r>
            <w:rPr>
              <w:sz w:val="24"/>
              <w:szCs w:val="24"/>
            </w:rPr>
            <w:tab/>
          </w:r>
          <w:r>
            <w:rPr>
              <w:sz w:val="24"/>
              <w:szCs w:val="24"/>
            </w:rPr>
            <w:fldChar w:fldCharType="begin"/>
          </w:r>
          <w:r>
            <w:rPr>
              <w:sz w:val="24"/>
              <w:szCs w:val="24"/>
            </w:rPr>
            <w:instrText xml:space="preserve"> PAGEREF _Toc293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_Toc3364 </w:instrText>
          </w:r>
          <w:r>
            <w:rPr>
              <w:sz w:val="24"/>
              <w:szCs w:val="24"/>
            </w:rPr>
            <w:fldChar w:fldCharType="separate"/>
          </w:r>
          <w:r>
            <w:rPr>
              <w:rFonts w:hint="eastAsia"/>
              <w:sz w:val="24"/>
              <w:szCs w:val="24"/>
            </w:rPr>
            <w:t>（四）技工院校毕业生</w:t>
          </w:r>
          <w:r>
            <w:rPr>
              <w:sz w:val="24"/>
              <w:szCs w:val="24"/>
            </w:rPr>
            <w:tab/>
          </w:r>
          <w:r>
            <w:rPr>
              <w:sz w:val="24"/>
              <w:szCs w:val="24"/>
            </w:rPr>
            <w:fldChar w:fldCharType="begin"/>
          </w:r>
          <w:r>
            <w:rPr>
              <w:sz w:val="24"/>
              <w:szCs w:val="24"/>
            </w:rPr>
            <w:instrText xml:space="preserve"> PAGEREF _Toc3364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_Toc14179 </w:instrText>
          </w:r>
          <w:r>
            <w:rPr>
              <w:sz w:val="24"/>
              <w:szCs w:val="24"/>
            </w:rPr>
            <w:fldChar w:fldCharType="separate"/>
          </w:r>
          <w:r>
            <w:rPr>
              <w:rFonts w:hint="eastAsia"/>
              <w:sz w:val="24"/>
              <w:szCs w:val="24"/>
            </w:rPr>
            <w:t>（五）规范化培训</w:t>
          </w:r>
          <w:r>
            <w:rPr>
              <w:sz w:val="24"/>
              <w:szCs w:val="24"/>
            </w:rPr>
            <w:tab/>
          </w:r>
          <w:r>
            <w:rPr>
              <w:sz w:val="24"/>
              <w:szCs w:val="24"/>
            </w:rPr>
            <w:fldChar w:fldCharType="begin"/>
          </w:r>
          <w:r>
            <w:rPr>
              <w:sz w:val="24"/>
              <w:szCs w:val="24"/>
            </w:rPr>
            <w:instrText xml:space="preserve"> PAGEREF _Toc14179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_Toc29221 </w:instrText>
          </w:r>
          <w:r>
            <w:rPr>
              <w:sz w:val="24"/>
              <w:szCs w:val="24"/>
            </w:rPr>
            <w:fldChar w:fldCharType="separate"/>
          </w:r>
          <w:r>
            <w:rPr>
              <w:rFonts w:hint="eastAsia"/>
              <w:sz w:val="24"/>
              <w:szCs w:val="24"/>
            </w:rPr>
            <w:t>（六）其他</w:t>
          </w:r>
          <w:r>
            <w:rPr>
              <w:sz w:val="24"/>
              <w:szCs w:val="24"/>
            </w:rPr>
            <w:tab/>
          </w:r>
          <w:r>
            <w:rPr>
              <w:sz w:val="24"/>
              <w:szCs w:val="24"/>
            </w:rPr>
            <w:fldChar w:fldCharType="begin"/>
          </w:r>
          <w:r>
            <w:rPr>
              <w:sz w:val="24"/>
              <w:szCs w:val="24"/>
            </w:rPr>
            <w:instrText xml:space="preserve"> PAGEREF _Toc29221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1"/>
            <w:tabs>
              <w:tab w:val="right" w:leader="dot" w:pos="8844"/>
            </w:tabs>
            <w:rPr>
              <w:sz w:val="24"/>
              <w:szCs w:val="24"/>
            </w:rPr>
          </w:pPr>
          <w:r>
            <w:rPr>
              <w:sz w:val="24"/>
              <w:szCs w:val="24"/>
            </w:rPr>
            <w:fldChar w:fldCharType="begin"/>
          </w:r>
          <w:r>
            <w:rPr>
              <w:sz w:val="24"/>
              <w:szCs w:val="24"/>
            </w:rPr>
            <w:instrText xml:space="preserve"> HYPERLINK \l _Toc26836 </w:instrText>
          </w:r>
          <w:r>
            <w:rPr>
              <w:sz w:val="24"/>
              <w:szCs w:val="24"/>
            </w:rPr>
            <w:fldChar w:fldCharType="separate"/>
          </w:r>
          <w:r>
            <w:rPr>
              <w:rFonts w:hint="eastAsia"/>
              <w:sz w:val="24"/>
              <w:szCs w:val="24"/>
            </w:rPr>
            <w:t>十六、网上报名操作须知</w:t>
          </w:r>
          <w:r>
            <w:rPr>
              <w:sz w:val="24"/>
              <w:szCs w:val="24"/>
            </w:rPr>
            <w:tab/>
          </w:r>
          <w:r>
            <w:rPr>
              <w:sz w:val="24"/>
              <w:szCs w:val="24"/>
            </w:rPr>
            <w:fldChar w:fldCharType="begin"/>
          </w:r>
          <w:r>
            <w:rPr>
              <w:sz w:val="24"/>
              <w:szCs w:val="24"/>
            </w:rPr>
            <w:instrText xml:space="preserve"> PAGEREF _Toc26836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_Toc21908 </w:instrText>
          </w:r>
          <w:r>
            <w:rPr>
              <w:sz w:val="24"/>
              <w:szCs w:val="24"/>
            </w:rPr>
            <w:fldChar w:fldCharType="separate"/>
          </w:r>
          <w:r>
            <w:rPr>
              <w:rFonts w:hint="eastAsia"/>
              <w:sz w:val="24"/>
              <w:szCs w:val="24"/>
            </w:rPr>
            <w:t>（</w:t>
          </w:r>
          <w:r>
            <w:rPr>
              <w:rFonts w:hint="eastAsia"/>
              <w:sz w:val="24"/>
              <w:szCs w:val="24"/>
              <w:lang w:eastAsia="zh-CN"/>
            </w:rPr>
            <w:t>一</w:t>
          </w:r>
          <w:r>
            <w:rPr>
              <w:rFonts w:hint="eastAsia"/>
              <w:sz w:val="24"/>
              <w:szCs w:val="24"/>
            </w:rPr>
            <w:t>）报名信息填写</w:t>
          </w:r>
          <w:r>
            <w:rPr>
              <w:sz w:val="24"/>
              <w:szCs w:val="24"/>
            </w:rPr>
            <w:tab/>
          </w:r>
          <w:r>
            <w:rPr>
              <w:sz w:val="24"/>
              <w:szCs w:val="24"/>
            </w:rPr>
            <w:fldChar w:fldCharType="begin"/>
          </w:r>
          <w:r>
            <w:rPr>
              <w:sz w:val="24"/>
              <w:szCs w:val="24"/>
            </w:rPr>
            <w:instrText xml:space="preserve"> PAGEREF _Toc21908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7"/>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_Toc3031 </w:instrText>
          </w:r>
          <w:r>
            <w:rPr>
              <w:rFonts w:hint="eastAsia" w:ascii="宋体" w:hAnsi="宋体" w:eastAsia="宋体" w:cs="宋体"/>
              <w:sz w:val="24"/>
              <w:szCs w:val="24"/>
            </w:rPr>
            <w:fldChar w:fldCharType="separate"/>
          </w:r>
          <w:r>
            <w:rPr>
              <w:rFonts w:hint="eastAsia" w:ascii="宋体" w:hAnsi="宋体" w:eastAsia="宋体" w:cs="宋体"/>
              <w:bCs/>
              <w:sz w:val="24"/>
              <w:szCs w:val="24"/>
            </w:rPr>
            <w:t>1.首次在报名系统注册的考生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844"/>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_Toc26295 </w:instrText>
          </w:r>
          <w:r>
            <w:rPr>
              <w:rFonts w:hint="eastAsia" w:ascii="宋体" w:hAnsi="宋体" w:eastAsia="宋体" w:cs="宋体"/>
              <w:sz w:val="24"/>
              <w:szCs w:val="24"/>
            </w:rPr>
            <w:fldChar w:fldCharType="separate"/>
          </w:r>
          <w:r>
            <w:rPr>
              <w:rFonts w:hint="eastAsia" w:ascii="宋体" w:hAnsi="宋体" w:eastAsia="宋体" w:cs="宋体"/>
              <w:bCs/>
              <w:sz w:val="24"/>
              <w:szCs w:val="24"/>
            </w:rPr>
            <w:t>2.曾在报名系统注册的考生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_Toc26295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_Toc17297 </w:instrText>
          </w:r>
          <w:r>
            <w:rPr>
              <w:sz w:val="24"/>
              <w:szCs w:val="24"/>
            </w:rPr>
            <w:fldChar w:fldCharType="separate"/>
          </w:r>
          <w:r>
            <w:rPr>
              <w:rFonts w:hint="eastAsia"/>
              <w:sz w:val="24"/>
              <w:szCs w:val="24"/>
            </w:rPr>
            <w:t>（</w:t>
          </w:r>
          <w:r>
            <w:rPr>
              <w:rFonts w:hint="eastAsia"/>
              <w:sz w:val="24"/>
              <w:szCs w:val="24"/>
              <w:lang w:eastAsia="zh-CN"/>
            </w:rPr>
            <w:t>二</w:t>
          </w:r>
          <w:r>
            <w:rPr>
              <w:rFonts w:hint="eastAsia"/>
              <w:sz w:val="24"/>
              <w:szCs w:val="24"/>
            </w:rPr>
            <w:t>）报名次数限定</w:t>
          </w:r>
          <w:r>
            <w:rPr>
              <w:sz w:val="24"/>
              <w:szCs w:val="24"/>
            </w:rPr>
            <w:tab/>
          </w:r>
          <w:r>
            <w:rPr>
              <w:sz w:val="24"/>
              <w:szCs w:val="24"/>
            </w:rPr>
            <w:fldChar w:fldCharType="begin"/>
          </w:r>
          <w:r>
            <w:rPr>
              <w:sz w:val="24"/>
              <w:szCs w:val="24"/>
            </w:rPr>
            <w:instrText xml:space="preserve"> PAGEREF _Toc17297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3"/>
            <w:tabs>
              <w:tab w:val="right" w:leader="dot" w:pos="8844"/>
            </w:tabs>
            <w:rPr>
              <w:sz w:val="24"/>
              <w:szCs w:val="24"/>
            </w:rPr>
          </w:pPr>
          <w:r>
            <w:rPr>
              <w:sz w:val="24"/>
              <w:szCs w:val="24"/>
            </w:rPr>
            <w:fldChar w:fldCharType="begin"/>
          </w:r>
          <w:r>
            <w:rPr>
              <w:sz w:val="24"/>
              <w:szCs w:val="24"/>
            </w:rPr>
            <w:instrText xml:space="preserve"> HYPERLINK \l _Toc28993 </w:instrText>
          </w:r>
          <w:r>
            <w:rPr>
              <w:sz w:val="24"/>
              <w:szCs w:val="24"/>
            </w:rPr>
            <w:fldChar w:fldCharType="separate"/>
          </w:r>
          <w:r>
            <w:rPr>
              <w:rFonts w:hint="eastAsia"/>
              <w:sz w:val="24"/>
              <w:szCs w:val="24"/>
            </w:rPr>
            <w:t>（</w:t>
          </w:r>
          <w:r>
            <w:rPr>
              <w:rFonts w:hint="eastAsia"/>
              <w:sz w:val="24"/>
              <w:szCs w:val="24"/>
              <w:lang w:eastAsia="zh-CN"/>
            </w:rPr>
            <w:t>三</w:t>
          </w:r>
          <w:r>
            <w:rPr>
              <w:rFonts w:hint="eastAsia"/>
              <w:sz w:val="24"/>
              <w:szCs w:val="24"/>
            </w:rPr>
            <w:t>）申诉注意事项</w:t>
          </w:r>
          <w:r>
            <w:rPr>
              <w:sz w:val="24"/>
              <w:szCs w:val="24"/>
            </w:rPr>
            <w:tab/>
          </w:r>
          <w:r>
            <w:rPr>
              <w:sz w:val="24"/>
              <w:szCs w:val="24"/>
            </w:rPr>
            <w:fldChar w:fldCharType="begin"/>
          </w:r>
          <w:r>
            <w:rPr>
              <w:sz w:val="24"/>
              <w:szCs w:val="24"/>
            </w:rPr>
            <w:instrText xml:space="preserve"> PAGEREF _Toc28993 \h </w:instrText>
          </w:r>
          <w:r>
            <w:rPr>
              <w:sz w:val="24"/>
              <w:szCs w:val="24"/>
            </w:rPr>
            <w:fldChar w:fldCharType="separate"/>
          </w:r>
          <w:r>
            <w:rPr>
              <w:sz w:val="24"/>
              <w:szCs w:val="24"/>
            </w:rPr>
            <w:t>19</w:t>
          </w:r>
          <w:r>
            <w:rPr>
              <w:sz w:val="24"/>
              <w:szCs w:val="24"/>
            </w:rPr>
            <w:fldChar w:fldCharType="end"/>
          </w:r>
          <w:r>
            <w:rPr>
              <w:sz w:val="24"/>
              <w:szCs w:val="24"/>
            </w:rPr>
            <w:fldChar w:fldCharType="end"/>
          </w:r>
        </w:p>
        <w:p>
          <w:pPr>
            <w:adjustRightInd w:val="0"/>
            <w:snapToGrid w:val="0"/>
            <w:spacing w:before="0" w:beforeLines="0" w:after="0" w:afterLines="0" w:line="240" w:lineRule="auto"/>
            <w:ind w:left="0" w:leftChars="0" w:right="0" w:rightChars="0" w:firstLine="0" w:firstLineChars="0"/>
            <w:jc w:val="center"/>
            <w:rPr>
              <w:sz w:val="24"/>
              <w:szCs w:val="24"/>
            </w:rPr>
          </w:pPr>
          <w:r>
            <w:rPr>
              <w:sz w:val="24"/>
              <w:szCs w:val="24"/>
            </w:rPr>
            <w:fldChar w:fldCharType="end"/>
          </w:r>
        </w:p>
      </w:sdtContent>
    </w:sdt>
    <w:p>
      <w:pPr>
        <w:snapToGrid w:val="0"/>
        <w:spacing w:line="560" w:lineRule="exact"/>
        <w:ind w:firstLine="640" w:firstLineChars="200"/>
        <w:rPr>
          <w:rFonts w:hint="eastAsia" w:ascii="仿宋_GB2312" w:hAnsi="仿宋_GB2312" w:eastAsia="仿宋_GB2312" w:cs="仿宋_GB2312"/>
          <w:sz w:val="32"/>
          <w:szCs w:val="32"/>
        </w:rPr>
        <w:sectPr>
          <w:footerReference r:id="rId3" w:type="default"/>
          <w:pgSz w:w="11906" w:h="16838"/>
          <w:pgMar w:top="1418" w:right="1474" w:bottom="1418" w:left="1588" w:header="851" w:footer="992" w:gutter="0"/>
          <w:pgNumType w:start="1"/>
          <w:cols w:space="0" w:num="1"/>
          <w:docGrid w:type="lines" w:linePitch="312" w:charSpace="0"/>
        </w:sectPr>
      </w:pP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本须知仅适用于厦门市同安区所属</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招聘工作人员考试</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sz w:val="32"/>
          <w:szCs w:val="32"/>
        </w:rPr>
        <w:t>，由厦门市同安区人力资源和社会保障局（以下简称“区人社局”）负责解释。</w:t>
      </w:r>
    </w:p>
    <w:p>
      <w:pPr>
        <w:pStyle w:val="2"/>
        <w:pageBreakBefore w:val="0"/>
        <w:kinsoku/>
        <w:wordWrap/>
        <w:overflowPunct/>
        <w:topLinePunct w:val="0"/>
        <w:autoSpaceDE/>
        <w:autoSpaceDN/>
        <w:bidi w:val="0"/>
        <w:spacing w:line="570" w:lineRule="exact"/>
        <w:textAlignment w:val="auto"/>
      </w:pPr>
      <w:bookmarkStart w:id="10" w:name="_Toc5954"/>
      <w:bookmarkStart w:id="11" w:name="_Toc2170"/>
      <w:bookmarkStart w:id="12" w:name="_Toc102806530"/>
      <w:r>
        <w:rPr>
          <w:rFonts w:hint="eastAsia"/>
        </w:rPr>
        <w:t>一、基本条件</w:t>
      </w:r>
      <w:bookmarkEnd w:id="10"/>
      <w:bookmarkEnd w:id="11"/>
      <w:bookmarkEnd w:id="12"/>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bookmarkStart w:id="13" w:name="_Toc9119_WPSOffice_Level2"/>
      <w:bookmarkStart w:id="14" w:name="_Toc19262_WPSOffice_Level2"/>
      <w:bookmarkStart w:id="15" w:name="_Toc29243_WPSOffice_Level2"/>
      <w:bookmarkStart w:id="16" w:name="_Toc17638_WPSOffice_Level2"/>
      <w:r>
        <w:rPr>
          <w:rFonts w:hint="eastAsia" w:ascii="仿宋_GB2312" w:hAnsi="仿宋_GB2312" w:eastAsia="仿宋_GB2312" w:cs="仿宋_GB2312"/>
          <w:sz w:val="32"/>
          <w:szCs w:val="32"/>
        </w:rPr>
        <w:t>（一）具有中华人民共和国国籍；</w:t>
      </w:r>
      <w:bookmarkEnd w:id="13"/>
      <w:bookmarkEnd w:id="14"/>
      <w:bookmarkEnd w:id="15"/>
      <w:bookmarkEnd w:id="16"/>
      <w:bookmarkStart w:id="17" w:name="_Toc17350_WPSOffice_Level2"/>
      <w:bookmarkStart w:id="18" w:name="_Toc11941_WPSOffice_Level2"/>
      <w:bookmarkStart w:id="19" w:name="_Toc4207_WPSOffice_Level2"/>
      <w:bookmarkStart w:id="20" w:name="_Toc12392_WPSOffice_Level2"/>
    </w:p>
    <w:bookmarkEnd w:id="17"/>
    <w:bookmarkEnd w:id="18"/>
    <w:bookmarkEnd w:id="19"/>
    <w:bookmarkEnd w:id="20"/>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bookmarkStart w:id="21" w:name="_Toc7847_WPSOffice_Level2"/>
      <w:bookmarkStart w:id="22" w:name="_Toc20094_WPSOffice_Level2"/>
      <w:bookmarkStart w:id="23" w:name="_Toc6014_WPSOffice_Level2"/>
      <w:bookmarkStart w:id="24" w:name="_Toc9634_WPSOffice_Level2"/>
      <w:r>
        <w:rPr>
          <w:rFonts w:hint="eastAsia" w:ascii="仿宋_GB2312" w:hAnsi="仿宋_GB2312" w:eastAsia="仿宋_GB2312" w:cs="仿宋_GB2312"/>
          <w:kern w:val="0"/>
          <w:sz w:val="32"/>
          <w:szCs w:val="32"/>
        </w:rPr>
        <w:t>（二）拥护中华人民共和国宪法,拥护中国共产党领导和社会主义制度；</w:t>
      </w:r>
      <w:bookmarkEnd w:id="21"/>
      <w:bookmarkEnd w:id="22"/>
      <w:bookmarkEnd w:id="23"/>
      <w:bookmarkEnd w:id="24"/>
      <w:bookmarkStart w:id="25" w:name="_Toc13849_WPSOffice_Level2"/>
      <w:bookmarkStart w:id="26" w:name="_Toc6870_WPSOffice_Level2"/>
      <w:bookmarkStart w:id="27" w:name="_Toc30877_WPSOffice_Level2"/>
      <w:bookmarkStart w:id="28" w:name="_Toc27016_WPSOffice_Level2"/>
    </w:p>
    <w:bookmarkEnd w:id="25"/>
    <w:bookmarkEnd w:id="26"/>
    <w:bookmarkEnd w:id="27"/>
    <w:bookmarkEnd w:id="28"/>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bookmarkStart w:id="29" w:name="_Toc10788_WPSOffice_Level2"/>
      <w:bookmarkStart w:id="30" w:name="_Toc26060_WPSOffice_Level2"/>
      <w:bookmarkStart w:id="31" w:name="_Toc19929_WPSOffice_Level2"/>
      <w:bookmarkStart w:id="32" w:name="_Toc4758_WPSOffice_Level2"/>
      <w:r>
        <w:rPr>
          <w:rFonts w:hint="eastAsia" w:ascii="仿宋_GB2312" w:hAnsi="仿宋_GB2312" w:eastAsia="仿宋_GB2312" w:cs="仿宋_GB2312"/>
          <w:kern w:val="0"/>
          <w:sz w:val="32"/>
          <w:szCs w:val="32"/>
        </w:rPr>
        <w:t>（三）具有良好的政治素质和道德品行，具有正常履行职责的身心条件；</w:t>
      </w:r>
    </w:p>
    <w:bookmarkEnd w:id="29"/>
    <w:bookmarkEnd w:id="30"/>
    <w:bookmarkEnd w:id="31"/>
    <w:bookmarkEnd w:id="32"/>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（四）18周岁以上、35周岁以下</w:t>
      </w:r>
      <w:r>
        <w:rPr>
          <w:rFonts w:hint="eastAsia" w:ascii="仿宋_GB2312" w:eastAsia="仿宋_GB2312"/>
          <w:color w:val="auto"/>
          <w:sz w:val="32"/>
          <w:szCs w:val="32"/>
        </w:rPr>
        <w:t>（在198</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月至200</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月期间出生），对年龄条件另有要求</w:t>
      </w:r>
      <w:r>
        <w:rPr>
          <w:rFonts w:hint="eastAsia" w:ascii="仿宋_GB2312" w:eastAsia="仿宋_GB2312"/>
          <w:sz w:val="32"/>
          <w:szCs w:val="32"/>
        </w:rPr>
        <w:t>的，以岗位要求为准；</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（五）具备招聘岗位设置的资格条件。</w:t>
      </w:r>
    </w:p>
    <w:p>
      <w:pPr>
        <w:pStyle w:val="2"/>
        <w:pageBreakBefore w:val="0"/>
        <w:kinsoku/>
        <w:wordWrap/>
        <w:overflowPunct/>
        <w:topLinePunct w:val="0"/>
        <w:autoSpaceDE/>
        <w:autoSpaceDN/>
        <w:bidi w:val="0"/>
        <w:spacing w:line="570" w:lineRule="exact"/>
        <w:textAlignment w:val="auto"/>
      </w:pPr>
      <w:bookmarkStart w:id="33" w:name="_Toc102806531"/>
      <w:bookmarkStart w:id="34" w:name="_Toc2749"/>
      <w:bookmarkStart w:id="35" w:name="_Toc8605"/>
      <w:r>
        <w:rPr>
          <w:rFonts w:hint="eastAsia"/>
        </w:rPr>
        <w:t>二、不得报考或取消报考（聘用）资格的情形</w:t>
      </w:r>
      <w:bookmarkEnd w:id="33"/>
      <w:bookmarkEnd w:id="34"/>
      <w:bookmarkEnd w:id="35"/>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（一）因犯罪受过刑事处罚的；</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被开除公职或开除中国共产党党籍的</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（三）</w:t>
      </w:r>
      <w:r>
        <w:rPr>
          <w:rFonts w:hint="eastAsia" w:ascii="仿宋_GB2312" w:eastAsia="仿宋_GB2312"/>
          <w:sz w:val="32"/>
          <w:szCs w:val="32"/>
        </w:rPr>
        <w:t>被依法列为失信联合惩戒对象的；</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（四）在各级公务员或事业单位招考中被认定有舞弊等严重违反录(聘)用纪律行为的；</w:t>
      </w:r>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eastAsia="仿宋_GB2312"/>
          <w:sz w:val="32"/>
          <w:szCs w:val="32"/>
        </w:rPr>
        <w:t>公务员或参照公务员法管理机关（单位）工作人员（以下简称“参公人员”）被辞退未满5年的</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eastAsia="仿宋_GB2312"/>
          <w:strike w:val="0"/>
          <w:dstrike w:val="0"/>
          <w:color w:val="auto"/>
          <w:sz w:val="32"/>
          <w:szCs w:val="32"/>
          <w:highlight w:val="cyan"/>
          <w:lang w:val="en-US" w:eastAsia="zh-CN"/>
        </w:rPr>
      </w:pPr>
      <w:r>
        <w:rPr>
          <w:rFonts w:hint="eastAsia" w:ascii="仿宋_GB2312" w:hAnsi="仿宋_GB2312" w:eastAsia="仿宋_GB2312" w:cs="仿宋_GB2312"/>
          <w:color w:val="auto"/>
          <w:sz w:val="32"/>
          <w:szCs w:val="32"/>
          <w:highlight w:val="none"/>
        </w:rPr>
        <w:t>（六）</w:t>
      </w: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eastAsia="仿宋_GB2312"/>
          <w:sz w:val="32"/>
          <w:szCs w:val="32"/>
        </w:rPr>
        <w:t>现役军人及普通高等院校全日制在读的非</w:t>
      </w:r>
      <w:r>
        <w:rPr>
          <w:rFonts w:hint="eastAsia" w:ascii="仿宋_GB2312" w:eastAsia="仿宋_GB2312"/>
          <w:sz w:val="32"/>
          <w:szCs w:val="32"/>
          <w:lang w:eastAsia="zh-CN"/>
        </w:rPr>
        <w:t>应届</w:t>
      </w:r>
      <w:r>
        <w:rPr>
          <w:rFonts w:hint="eastAsia" w:ascii="仿宋_GB2312" w:eastAsia="仿宋_GB2312"/>
          <w:sz w:val="32"/>
          <w:szCs w:val="32"/>
        </w:rPr>
        <w:t>毕业生（即</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sz w:val="32"/>
          <w:szCs w:val="32"/>
        </w:rPr>
        <w:t>年及以后才学业期满的全日制普通教育学生）</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）聘用后即构成应回避关系的；</w:t>
      </w:r>
    </w:p>
    <w:p>
      <w:pPr>
        <w:pageBreakBefore w:val="0"/>
        <w:kinsoku/>
        <w:wordWrap/>
        <w:overflowPunct/>
        <w:topLinePunct w:val="0"/>
        <w:autoSpaceDE/>
        <w:autoSpaceDN/>
        <w:bidi w:val="0"/>
        <w:snapToGrid w:val="0"/>
        <w:spacing w:line="5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根据原福建省卫生计生委等六部门《关于印发&lt;完善福建省住院医师规范化培训制度的实施意见&gt;的通知》（闽卫科教〔2015〕107号）和《福建省卫生计生委关于印发福建省住院医师规范化培训实施方案的通知》（闽卫科教〔2016〕83号）精神：凡是以单位人身份进入住院医师规范化培训的人员或以单位人身份正在接受住院医师规范化培训的人员，在培训期间及培训结束（含终止培训或退出培训）后3年内不得报考培训基地所在单位的任何招聘岗位;</w:t>
      </w:r>
    </w:p>
    <w:p>
      <w:pPr>
        <w:pageBreakBefore w:val="0"/>
        <w:kinsoku/>
        <w:wordWrap/>
        <w:overflowPunct/>
        <w:topLinePunct w:val="0"/>
        <w:autoSpaceDE/>
        <w:autoSpaceDN/>
        <w:bidi w:val="0"/>
        <w:snapToGrid w:val="0"/>
        <w:spacing w:line="57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（十）工作期间曾发生医疗事故负有主要责任的；</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）法律法规规章规定不得聘为事业单位人员的</w:t>
      </w:r>
      <w:r>
        <w:rPr>
          <w:rFonts w:hint="eastAsia" w:ascii="仿宋_GB2312" w:hAnsi="仿宋_GB2312" w:eastAsia="仿宋_GB2312" w:cs="仿宋_GB2312"/>
          <w:sz w:val="32"/>
          <w:szCs w:val="32"/>
          <w:lang w:eastAsia="zh-CN"/>
        </w:rPr>
        <w:t>其他情形</w:t>
      </w:r>
      <w:r>
        <w:rPr>
          <w:rFonts w:hint="eastAsia" w:ascii="仿宋_GB2312" w:hAnsi="仿宋_GB2312" w:eastAsia="仿宋_GB2312" w:cs="仿宋_GB2312"/>
          <w:sz w:val="32"/>
          <w:szCs w:val="32"/>
        </w:rPr>
        <w:t xml:space="preserve">。 </w:t>
      </w:r>
    </w:p>
    <w:p>
      <w:pPr>
        <w:pStyle w:val="2"/>
        <w:pageBreakBefore w:val="0"/>
        <w:kinsoku/>
        <w:wordWrap/>
        <w:overflowPunct/>
        <w:topLinePunct w:val="0"/>
        <w:autoSpaceDE/>
        <w:autoSpaceDN/>
        <w:bidi w:val="0"/>
        <w:spacing w:line="570" w:lineRule="exact"/>
        <w:textAlignment w:val="auto"/>
      </w:pPr>
      <w:bookmarkStart w:id="36" w:name="_Toc23065"/>
      <w:bookmarkStart w:id="37" w:name="_Toc102806532"/>
      <w:bookmarkStart w:id="38" w:name="_Toc14874"/>
      <w:r>
        <w:rPr>
          <w:rFonts w:hint="eastAsia"/>
        </w:rPr>
        <w:t>三、选报岗位</w:t>
      </w:r>
      <w:bookmarkEnd w:id="36"/>
      <w:bookmarkEnd w:id="37"/>
      <w:bookmarkEnd w:id="38"/>
    </w:p>
    <w:p>
      <w:pPr>
        <w:pStyle w:val="3"/>
        <w:pageBreakBefore w:val="0"/>
        <w:kinsoku/>
        <w:wordWrap/>
        <w:overflowPunct/>
        <w:topLinePunct w:val="0"/>
        <w:autoSpaceDE/>
        <w:autoSpaceDN/>
        <w:bidi w:val="0"/>
        <w:spacing w:line="570" w:lineRule="exact"/>
        <w:textAlignment w:val="auto"/>
      </w:pPr>
      <w:bookmarkStart w:id="39" w:name="_Toc31730"/>
      <w:bookmarkStart w:id="40" w:name="_Toc102806533"/>
      <w:bookmarkStart w:id="41" w:name="_Toc5249"/>
      <w:r>
        <w:rPr>
          <w:rFonts w:hint="eastAsia"/>
        </w:rPr>
        <w:t>（一）报考条件确认</w:t>
      </w:r>
      <w:bookmarkEnd w:id="39"/>
      <w:bookmarkEnd w:id="40"/>
      <w:bookmarkEnd w:id="41"/>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报考者须在报名时，全面、逐项对照招聘岗位和招聘简章等要求，确认符合报考资格条件</w:t>
      </w:r>
      <w:r>
        <w:rPr>
          <w:rFonts w:hint="eastAsia" w:ascii="仿宋_GB2312" w:hAnsi="仿宋_GB2312" w:eastAsia="仿宋_GB2312" w:cs="仿宋_GB2312"/>
          <w:sz w:val="32"/>
          <w:szCs w:val="32"/>
        </w:rPr>
        <w:t xml:space="preserve">。 </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2.每名报考者只能报考1个岗位，通过资格初审后不得更改，并以通过资格初审的岗位参加考试。</w:t>
      </w:r>
    </w:p>
    <w:p>
      <w:pPr>
        <w:pageBreakBefore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3.各岗位报名人数统计每天24:00更新一次，</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月</w:t>
      </w:r>
      <w:r>
        <w:rPr>
          <w:rFonts w:hint="eastAsia" w:ascii="仿宋_GB2312" w:hAnsi="仿宋_GB2312" w:eastAsia="仿宋_GB2312" w:cs="仿宋_GB2312"/>
          <w:b w:val="0"/>
          <w:bCs/>
          <w:color w:val="auto"/>
          <w:sz w:val="32"/>
          <w:szCs w:val="32"/>
          <w:highlight w:val="none"/>
          <w:lang w:val="en-US" w:eastAsia="zh-CN"/>
        </w:rPr>
        <w:t>19</w:t>
      </w:r>
      <w:r>
        <w:rPr>
          <w:rFonts w:hint="eastAsia" w:ascii="仿宋_GB2312" w:hAnsi="仿宋_GB2312" w:eastAsia="仿宋_GB2312" w:cs="仿宋_GB2312"/>
          <w:b w:val="0"/>
          <w:bCs/>
          <w:color w:val="auto"/>
          <w:sz w:val="32"/>
          <w:szCs w:val="32"/>
          <w:highlight w:val="none"/>
        </w:rPr>
        <w:t>日</w:t>
      </w:r>
      <w:r>
        <w:rPr>
          <w:rFonts w:hint="eastAsia" w:ascii="仿宋_GB2312" w:hAnsi="仿宋_GB2312" w:eastAsia="仿宋_GB2312" w:cs="仿宋_GB2312"/>
          <w:b w:val="0"/>
          <w:bCs/>
          <w:color w:val="auto"/>
          <w:sz w:val="32"/>
          <w:szCs w:val="32"/>
        </w:rPr>
        <w:t>24:00起不再更新</w:t>
      </w:r>
      <w:r>
        <w:rPr>
          <w:rFonts w:hint="eastAsia" w:ascii="仿宋_GB2312" w:hAnsi="仿宋_GB2312" w:eastAsia="仿宋_GB2312" w:cs="仿宋_GB2312"/>
          <w:b w:val="0"/>
          <w:bCs/>
          <w:color w:val="auto"/>
          <w:sz w:val="32"/>
          <w:szCs w:val="32"/>
          <w:lang w:eastAsia="zh-CN"/>
        </w:rPr>
        <w:t>。</w:t>
      </w:r>
      <w:bookmarkStart w:id="221" w:name="_GoBack"/>
      <w:bookmarkEnd w:id="221"/>
    </w:p>
    <w:p>
      <w:pPr>
        <w:pStyle w:val="3"/>
        <w:pageBreakBefore w:val="0"/>
        <w:kinsoku/>
        <w:wordWrap/>
        <w:overflowPunct/>
        <w:topLinePunct w:val="0"/>
        <w:autoSpaceDE/>
        <w:autoSpaceDN/>
        <w:bidi w:val="0"/>
        <w:spacing w:line="570" w:lineRule="exact"/>
        <w:textAlignment w:val="auto"/>
        <w:rPr>
          <w:rFonts w:hint="eastAsia"/>
        </w:rPr>
      </w:pPr>
      <w:bookmarkStart w:id="42" w:name="_Toc32432"/>
      <w:bookmarkStart w:id="43" w:name="_Toc102806534"/>
      <w:bookmarkStart w:id="44" w:name="_Toc27395"/>
      <w:r>
        <w:rPr>
          <w:rFonts w:hint="eastAsia"/>
        </w:rPr>
        <w:t>（二）照片要求</w:t>
      </w:r>
      <w:bookmarkEnd w:id="42"/>
      <w:bookmarkEnd w:id="43"/>
      <w:bookmarkEnd w:id="44"/>
    </w:p>
    <w:p>
      <w:pPr>
        <w:pageBreakBefore w:val="0"/>
        <w:kinsoku/>
        <w:wordWrap/>
        <w:overflowPunct/>
        <w:topLinePunct w:val="0"/>
        <w:autoSpaceDE/>
        <w:autoSpaceDN/>
        <w:bidi w:val="0"/>
        <w:adjustRightInd w:val="0"/>
        <w:snapToGrid w:val="0"/>
        <w:spacing w:line="5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请提交近期正面免冠二寸彩色数码证件照（jpg格式，规格200K以下）。</w:t>
      </w:r>
    </w:p>
    <w:p>
      <w:pPr>
        <w:pageBreakBefore w:val="0"/>
        <w:kinsoku/>
        <w:wordWrap/>
        <w:overflowPunct/>
        <w:topLinePunct w:val="0"/>
        <w:autoSpaceDE/>
        <w:autoSpaceDN/>
        <w:bidi w:val="0"/>
        <w:adjustRightInd w:val="0"/>
        <w:snapToGrid w:val="0"/>
        <w:spacing w:line="5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⑦头发刘海遮挡面大的；⑧照片比例变形的；⑨手持证件的照片；⑩其他难以清晰辨认的。</w:t>
      </w:r>
    </w:p>
    <w:p>
      <w:pPr>
        <w:pStyle w:val="3"/>
        <w:pageBreakBefore w:val="0"/>
        <w:kinsoku/>
        <w:wordWrap/>
        <w:overflowPunct/>
        <w:topLinePunct w:val="0"/>
        <w:autoSpaceDE/>
        <w:autoSpaceDN/>
        <w:bidi w:val="0"/>
        <w:spacing w:line="570" w:lineRule="exact"/>
        <w:textAlignment w:val="auto"/>
        <w:rPr>
          <w:rFonts w:hint="eastAsia" w:ascii="楷体_GB2312" w:hAnsi="楷体_GB2312" w:eastAsia="楷体_GB2312" w:cs="楷体_GB2312"/>
          <w:b/>
          <w:bCs w:val="0"/>
          <w:kern w:val="2"/>
          <w:sz w:val="32"/>
          <w:szCs w:val="32"/>
          <w:lang w:val="en-US" w:eastAsia="zh-CN" w:bidi="ar-SA"/>
        </w:rPr>
      </w:pPr>
      <w:bookmarkStart w:id="45" w:name="_Toc7943"/>
      <w:bookmarkStart w:id="46" w:name="_Toc6349"/>
      <w:bookmarkStart w:id="47" w:name="_Toc102806535"/>
      <w:r>
        <w:rPr>
          <w:rFonts w:hint="eastAsia" w:ascii="楷体_GB2312" w:hAnsi="楷体_GB2312" w:eastAsia="楷体_GB2312" w:cs="楷体_GB2312"/>
          <w:b/>
          <w:bCs w:val="0"/>
          <w:kern w:val="2"/>
          <w:sz w:val="32"/>
          <w:szCs w:val="32"/>
          <w:lang w:val="en-US" w:eastAsia="zh-CN" w:bidi="ar-SA"/>
        </w:rPr>
        <w:t>（三）个人简历</w:t>
      </w:r>
      <w:bookmarkEnd w:id="45"/>
      <w:bookmarkEnd w:id="46"/>
      <w:bookmarkEnd w:id="47"/>
    </w:p>
    <w:p>
      <w:pPr>
        <w:pageBreakBefore w:val="0"/>
        <w:kinsoku/>
        <w:wordWrap/>
        <w:overflowPunct/>
        <w:topLinePunct w:val="0"/>
        <w:autoSpaceDE/>
        <w:autoSpaceDN/>
        <w:bidi w:val="0"/>
        <w:spacing w:line="570" w:lineRule="exact"/>
        <w:ind w:firstLine="640" w:firstLineChars="200"/>
        <w:textAlignment w:val="auto"/>
        <w:rPr>
          <w:rFonts w:ascii="仿宋_GB2312" w:hAnsi="仿宋_GB2312" w:eastAsia="仿宋_GB2312" w:cs="仿宋_GB2312"/>
          <w:b w:val="0"/>
          <w:bCs/>
          <w:sz w:val="32"/>
          <w:szCs w:val="32"/>
        </w:rPr>
      </w:pPr>
      <w:bookmarkStart w:id="48" w:name="_Toc11175"/>
      <w:bookmarkStart w:id="49" w:name="_Toc28349"/>
      <w:bookmarkStart w:id="50" w:name="_Toc4830"/>
      <w:bookmarkStart w:id="51" w:name="_Toc29293"/>
      <w:bookmarkStart w:id="52" w:name="_Toc5535"/>
      <w:r>
        <w:rPr>
          <w:rFonts w:hint="eastAsia" w:ascii="仿宋_GB2312" w:hAnsi="仿宋_GB2312" w:eastAsia="仿宋_GB2312" w:cs="仿宋_GB2312"/>
          <w:b w:val="0"/>
          <w:bCs/>
          <w:sz w:val="32"/>
          <w:szCs w:val="32"/>
        </w:rPr>
        <w:t>曾在报名系统中注册登记的考生，本次报考前务必首先根据实际情况重新修改完善个人相关信息（截至报名截止月或报名截止日），如实反映各阶段的就学、就业、待业等状态，期间不能中断，原则上应从高中起填写。</w:t>
      </w:r>
      <w:bookmarkEnd w:id="48"/>
      <w:bookmarkEnd w:id="49"/>
      <w:r>
        <w:rPr>
          <w:rFonts w:hint="eastAsia" w:ascii="仿宋_GB2312" w:hAnsi="仿宋_GB2312" w:eastAsia="仿宋_GB2312" w:cs="仿宋_GB2312"/>
          <w:b w:val="0"/>
          <w:bCs/>
          <w:sz w:val="32"/>
          <w:szCs w:val="32"/>
        </w:rPr>
        <w:t>报名提交审核后修改填写的个人信息，系统无法自动更新呈现。为避免所报考岗位审核人员按原信息审核判定不符合，请务必在报名信息提交前完善并确认个人信息无误。</w:t>
      </w:r>
      <w:bookmarkEnd w:id="50"/>
      <w:bookmarkEnd w:id="51"/>
      <w:bookmarkEnd w:id="52"/>
    </w:p>
    <w:p>
      <w:pPr>
        <w:pageBreakBefore w:val="0"/>
        <w:kinsoku/>
        <w:wordWrap/>
        <w:overflowPunct/>
        <w:topLinePunct w:val="0"/>
        <w:autoSpaceDE/>
        <w:autoSpaceDN/>
        <w:bidi w:val="0"/>
        <w:spacing w:line="57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在机关事业单位工作的，须注明单位性质（机关、参公单位、非参公事业单位）和本人身份（公务员、参公事业编制人员、非参公事业编制人员、编外人员）。</w:t>
      </w:r>
    </w:p>
    <w:p>
      <w:pPr>
        <w:pageBreakBefore w:val="0"/>
        <w:kinsoku/>
        <w:wordWrap/>
        <w:overflowPunct/>
        <w:topLinePunct w:val="0"/>
        <w:autoSpaceDE/>
        <w:autoSpaceDN/>
        <w:bidi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部队、武警相关单位工作人员须注明“现役人员”还是“非现役文职人员”，或者“合同制职员”等。</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在读人员须注明教育类别是“全日制普教”还是“非全日制普教”。</w:t>
      </w:r>
    </w:p>
    <w:p>
      <w:pPr>
        <w:pStyle w:val="3"/>
        <w:pageBreakBefore w:val="0"/>
        <w:kinsoku/>
        <w:wordWrap/>
        <w:overflowPunct/>
        <w:topLinePunct w:val="0"/>
        <w:autoSpaceDE/>
        <w:autoSpaceDN/>
        <w:bidi w:val="0"/>
        <w:spacing w:line="570" w:lineRule="exact"/>
        <w:textAlignment w:val="auto"/>
        <w:rPr>
          <w:rFonts w:hint="eastAsia"/>
        </w:rPr>
      </w:pPr>
      <w:bookmarkStart w:id="53" w:name="_Toc102806536"/>
      <w:bookmarkStart w:id="54" w:name="_Toc24569"/>
      <w:bookmarkStart w:id="55" w:name="_Toc5170"/>
      <w:r>
        <w:rPr>
          <w:rFonts w:hint="eastAsia"/>
        </w:rPr>
        <w:t>（四）回避情形</w:t>
      </w:r>
      <w:bookmarkEnd w:id="53"/>
      <w:bookmarkEnd w:id="54"/>
      <w:bookmarkEnd w:id="55"/>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、纪检监察、审计、财务工作的岗位，也不得聘用至双方直接隶属于同一领导人员的从事组织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、纪检监察、审计、财务工作的内设机构正职岗位</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1.夫妻关系;</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2.直系血亲关系，包括祖父母、外祖父母、父母、子女、孙子女、外孙子女;</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3.三代以内旁系血亲关系，包括叔伯姑舅姨、兄弟姐妹、堂兄弟姐妹、表兄弟姐妹、侄子女、甥子女;</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4.近姻亲关系，包括配偶的父母、配偶的兄弟姐妹及其配偶、子女的配偶及子女配偶的父母、三代以内旁系血亲的配偶;</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5.其他亲属关系，包括养父母子女、形成抚养关系的继父母子女及由此形成的直系血亲、三代以内旁系血亲和近姻亲关系。</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所称直接上下级领导关系包括：</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1.领导班子正职与副职;</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2.同一内设机构正职与副职;</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3.上级正职、副职与下级正职;</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4.单位无内设机构的，其正职、副职与其他管理人员以及从事审计、财务工作的专业技术人员;</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5.内设机构无下一级单位的，其正职、副职与其他管理人员以及从事审计、财务工作的专业技术人员。</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从事招聘工作的人员存在应当回避情形的，须实行履职回避。</w:t>
      </w:r>
    </w:p>
    <w:p>
      <w:pPr>
        <w:pStyle w:val="2"/>
        <w:pageBreakBefore w:val="0"/>
        <w:kinsoku/>
        <w:wordWrap/>
        <w:overflowPunct/>
        <w:topLinePunct w:val="0"/>
        <w:autoSpaceDE/>
        <w:autoSpaceDN/>
        <w:bidi w:val="0"/>
        <w:spacing w:line="570" w:lineRule="exact"/>
        <w:textAlignment w:val="auto"/>
      </w:pPr>
      <w:bookmarkStart w:id="56" w:name="_Toc102806537"/>
      <w:bookmarkStart w:id="57" w:name="_Toc9263"/>
      <w:bookmarkStart w:id="58" w:name="_Toc2469"/>
      <w:r>
        <w:rPr>
          <w:rFonts w:hint="eastAsia"/>
        </w:rPr>
        <w:t>四、年龄、资格（历）等的计算办法</w:t>
      </w:r>
      <w:bookmarkEnd w:id="56"/>
      <w:bookmarkEnd w:id="57"/>
      <w:bookmarkEnd w:id="58"/>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bCs/>
          <w:color w:val="auto"/>
          <w:sz w:val="32"/>
          <w:szCs w:val="32"/>
        </w:rPr>
      </w:pPr>
      <w:r>
        <w:rPr>
          <w:rFonts w:hint="eastAsia" w:ascii="仿宋_GB2312" w:eastAsia="仿宋_GB2312"/>
          <w:sz w:val="32"/>
          <w:szCs w:val="32"/>
        </w:rPr>
        <w:t>如无特别说明，相关年限的计算、证书取得时间等，均指计算截至报名截止当月，即</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hAnsi="仿宋_GB2312" w:eastAsia="仿宋_GB2312" w:cs="仿宋_GB2312"/>
          <w:bCs/>
          <w:color w:val="auto"/>
          <w:sz w:val="32"/>
          <w:szCs w:val="32"/>
        </w:rPr>
        <w:t>。</w:t>
      </w:r>
    </w:p>
    <w:p>
      <w:pPr>
        <w:pStyle w:val="3"/>
        <w:pageBreakBefore w:val="0"/>
        <w:kinsoku/>
        <w:wordWrap/>
        <w:overflowPunct/>
        <w:topLinePunct w:val="0"/>
        <w:autoSpaceDE/>
        <w:autoSpaceDN/>
        <w:bidi w:val="0"/>
        <w:spacing w:line="570" w:lineRule="exact"/>
        <w:textAlignment w:val="auto"/>
        <w:rPr>
          <w:rFonts w:hint="eastAsia"/>
        </w:rPr>
      </w:pPr>
      <w:bookmarkStart w:id="59" w:name="_Toc15257"/>
      <w:bookmarkStart w:id="60" w:name="_Toc102806538"/>
      <w:bookmarkStart w:id="61" w:name="_Toc20631"/>
      <w:r>
        <w:rPr>
          <w:rFonts w:hint="eastAsia"/>
        </w:rPr>
        <w:t>（一）年龄</w:t>
      </w:r>
      <w:bookmarkEnd w:id="59"/>
      <w:bookmarkEnd w:id="60"/>
      <w:bookmarkEnd w:id="61"/>
    </w:p>
    <w:p>
      <w:pPr>
        <w:pageBreakBefore w:val="0"/>
        <w:numPr>
          <w:ilvl w:val="0"/>
          <w:numId w:val="0"/>
        </w:numPr>
        <w:kinsoku/>
        <w:wordWrap/>
        <w:overflowPunct/>
        <w:topLinePunct w:val="0"/>
        <w:autoSpaceDE/>
        <w:autoSpaceDN/>
        <w:bidi w:val="0"/>
        <w:spacing w:line="5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最高年龄要求35周岁是指18周岁以上、</w:t>
      </w:r>
      <w:r>
        <w:rPr>
          <w:rFonts w:hint="eastAsia" w:ascii="仿宋_GB2312" w:eastAsia="仿宋_GB2312"/>
          <w:color w:val="auto"/>
          <w:sz w:val="32"/>
          <w:szCs w:val="32"/>
          <w:lang w:eastAsia="zh-CN"/>
        </w:rPr>
        <w:t>未满</w:t>
      </w:r>
      <w:r>
        <w:rPr>
          <w:rFonts w:hint="eastAsia" w:ascii="仿宋_GB2312" w:eastAsia="仿宋_GB2312"/>
          <w:color w:val="auto"/>
          <w:sz w:val="32"/>
          <w:szCs w:val="32"/>
          <w:lang w:val="en-US" w:eastAsia="zh-CN"/>
        </w:rPr>
        <w:t>36周岁</w:t>
      </w:r>
      <w:r>
        <w:rPr>
          <w:rFonts w:hint="eastAsia" w:ascii="仿宋_GB2312" w:eastAsia="仿宋_GB2312"/>
          <w:color w:val="auto"/>
          <w:sz w:val="32"/>
          <w:szCs w:val="32"/>
        </w:rPr>
        <w:t>（在198</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eastAsia="仿宋_GB2312"/>
          <w:color w:val="auto"/>
          <w:sz w:val="32"/>
          <w:szCs w:val="32"/>
        </w:rPr>
        <w:t>期间出生）的人员</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u w:val="none"/>
          <w:lang w:val="en-US" w:eastAsia="zh-CN"/>
        </w:rPr>
        <w:t>具体计算到月</w:t>
      </w:r>
      <w:r>
        <w:rPr>
          <w:rFonts w:hint="eastAsia" w:ascii="仿宋_GB2312" w:eastAsia="仿宋_GB2312"/>
          <w:color w:val="auto"/>
          <w:sz w:val="32"/>
          <w:szCs w:val="32"/>
          <w:highlight w:val="none"/>
          <w:u w:val="none"/>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其他年龄要求按此类推。</w:t>
      </w:r>
    </w:p>
    <w:p>
      <w:pPr>
        <w:pStyle w:val="3"/>
        <w:pageBreakBefore w:val="0"/>
        <w:kinsoku/>
        <w:wordWrap/>
        <w:overflowPunct/>
        <w:topLinePunct w:val="0"/>
        <w:autoSpaceDE/>
        <w:autoSpaceDN/>
        <w:bidi w:val="0"/>
        <w:spacing w:line="570" w:lineRule="exact"/>
        <w:textAlignment w:val="auto"/>
        <w:rPr>
          <w:rFonts w:hint="eastAsia"/>
        </w:rPr>
      </w:pPr>
      <w:bookmarkStart w:id="62" w:name="_Toc7595"/>
      <w:bookmarkStart w:id="63" w:name="_Toc102806539"/>
      <w:bookmarkStart w:id="64" w:name="_Toc11088"/>
      <w:r>
        <w:rPr>
          <w:rFonts w:hint="eastAsia"/>
        </w:rPr>
        <w:t>（二）资格（历）等</w:t>
      </w:r>
      <w:bookmarkEnd w:id="62"/>
      <w:bookmarkEnd w:id="63"/>
      <w:bookmarkEnd w:id="64"/>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岗位资格条件、《简章》和《报考须知》要求具有××条件以上的，如无特别说明，均含本数。如：具有2年以上工作经验，指截至报名截止当月具有2年或2年以上工作经验。</w:t>
      </w:r>
    </w:p>
    <w:p>
      <w:pPr>
        <w:pStyle w:val="2"/>
        <w:pageBreakBefore w:val="0"/>
        <w:numPr>
          <w:ilvl w:val="0"/>
          <w:numId w:val="1"/>
        </w:numPr>
        <w:kinsoku/>
        <w:wordWrap/>
        <w:overflowPunct/>
        <w:topLinePunct w:val="0"/>
        <w:autoSpaceDE/>
        <w:autoSpaceDN/>
        <w:bidi w:val="0"/>
        <w:spacing w:line="570" w:lineRule="exact"/>
        <w:textAlignment w:val="auto"/>
        <w:rPr>
          <w:rFonts w:hint="eastAsia"/>
        </w:rPr>
      </w:pPr>
      <w:bookmarkStart w:id="65" w:name="_Toc102806540"/>
      <w:bookmarkStart w:id="66" w:name="_Toc23589"/>
      <w:bookmarkStart w:id="67" w:name="_Toc16689"/>
      <w:r>
        <w:rPr>
          <w:rFonts w:hint="eastAsia"/>
        </w:rPr>
        <w:t>学历（位）认定</w:t>
      </w:r>
      <w:bookmarkEnd w:id="65"/>
      <w:bookmarkEnd w:id="66"/>
      <w:bookmarkEnd w:id="67"/>
    </w:p>
    <w:p>
      <w:pPr>
        <w:pageBreakBefore w:val="0"/>
        <w:kinsoku/>
        <w:wordWrap/>
        <w:overflowPunct/>
        <w:topLinePunct w:val="0"/>
        <w:autoSpaceDE/>
        <w:autoSpaceDN/>
        <w:bidi w:val="0"/>
        <w:snapToGrid w:val="0"/>
        <w:spacing w:line="57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报考者的学历应为国家承认的国民教育序列学历。</w:t>
      </w:r>
    </w:p>
    <w:p>
      <w:pPr>
        <w:pStyle w:val="3"/>
        <w:pageBreakBefore w:val="0"/>
        <w:kinsoku/>
        <w:wordWrap/>
        <w:overflowPunct/>
        <w:topLinePunct w:val="0"/>
        <w:autoSpaceDE/>
        <w:autoSpaceDN/>
        <w:bidi w:val="0"/>
        <w:spacing w:line="570" w:lineRule="exact"/>
        <w:textAlignment w:val="auto"/>
        <w:rPr>
          <w:rFonts w:hint="eastAsia"/>
        </w:rPr>
      </w:pPr>
      <w:bookmarkStart w:id="68" w:name="_Toc29016"/>
      <w:bookmarkStart w:id="69" w:name="_Toc22424"/>
      <w:r>
        <w:rPr>
          <w:rFonts w:hint="eastAsia"/>
        </w:rPr>
        <w:t>（一）境内学历（位）</w:t>
      </w:r>
      <w:bookmarkEnd w:id="68"/>
      <w:bookmarkEnd w:id="69"/>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sz w:val="32"/>
          <w:szCs w:val="32"/>
        </w:rPr>
        <w:t>用于报考的学历</w:t>
      </w:r>
      <w:r>
        <w:rPr>
          <w:rFonts w:hint="eastAsia" w:ascii="仿宋_GB2312" w:eastAsia="仿宋_GB2312"/>
          <w:color w:val="auto"/>
          <w:sz w:val="32"/>
          <w:szCs w:val="32"/>
          <w:highlight w:val="none"/>
          <w:u w:val="none"/>
          <w:lang w:eastAsia="zh-CN"/>
        </w:rPr>
        <w:t>（位）</w:t>
      </w:r>
      <w:r>
        <w:rPr>
          <w:rFonts w:hint="eastAsia" w:ascii="仿宋_GB2312" w:hAnsi="仿宋_GB2312" w:eastAsia="仿宋_GB2312" w:cs="仿宋_GB2312"/>
          <w:sz w:val="32"/>
          <w:szCs w:val="32"/>
        </w:rPr>
        <w:t>（含自学考试、成人教育、网络教育、夜大、电大等）应在中国高等教育学生信息网（简称“学信网”，http://www.chsi.com.cn/）上可查询认证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已取得国家承认的列入国民教育序列学历的报考者，以辅修专业报考的，其专业资格也可以按照本人同时收录在“学信网”“学信档案”版块“学历信息”和“学位信息”栏目的辅修专业信息予以认定。</w:t>
      </w:r>
    </w:p>
    <w:p>
      <w:pPr>
        <w:pStyle w:val="3"/>
        <w:pageBreakBefore w:val="0"/>
        <w:kinsoku/>
        <w:wordWrap/>
        <w:overflowPunct/>
        <w:topLinePunct w:val="0"/>
        <w:autoSpaceDE/>
        <w:autoSpaceDN/>
        <w:bidi w:val="0"/>
        <w:spacing w:line="570" w:lineRule="exact"/>
        <w:textAlignment w:val="auto"/>
        <w:rPr>
          <w:rFonts w:hint="eastAsia"/>
        </w:rPr>
      </w:pPr>
      <w:bookmarkStart w:id="70" w:name="_Toc26859"/>
      <w:bookmarkStart w:id="71" w:name="_Toc2202"/>
      <w:r>
        <w:rPr>
          <w:rFonts w:hint="eastAsia"/>
        </w:rPr>
        <w:t>（二）第二学士学位</w:t>
      </w:r>
      <w:bookmarkEnd w:id="70"/>
      <w:bookmarkEnd w:id="71"/>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根据《教育部办公厅关于在普通高校继续开展第二学士学位教育的通知》（教高厅函〔2020〕9号）取得第二学士学位的毕业证书和学位证书，按上述要求进行查询认证。</w:t>
      </w:r>
    </w:p>
    <w:p>
      <w:pPr>
        <w:pStyle w:val="3"/>
        <w:pageBreakBefore w:val="0"/>
        <w:kinsoku/>
        <w:wordWrap/>
        <w:overflowPunct/>
        <w:topLinePunct w:val="0"/>
        <w:autoSpaceDE/>
        <w:autoSpaceDN/>
        <w:bidi w:val="0"/>
        <w:spacing w:line="570" w:lineRule="exact"/>
        <w:textAlignment w:val="auto"/>
        <w:rPr>
          <w:rFonts w:hint="eastAsia"/>
        </w:rPr>
      </w:pPr>
      <w:bookmarkStart w:id="72" w:name="_Toc8589"/>
      <w:bookmarkStart w:id="73" w:name="_Toc25585"/>
      <w:r>
        <w:rPr>
          <w:rFonts w:hint="eastAsia"/>
        </w:rPr>
        <w:t>（</w:t>
      </w:r>
      <w:r>
        <w:rPr>
          <w:rFonts w:hint="eastAsia"/>
          <w:lang w:eastAsia="zh-CN"/>
        </w:rPr>
        <w:t>三</w:t>
      </w:r>
      <w:r>
        <w:rPr>
          <w:rFonts w:hint="eastAsia"/>
        </w:rPr>
        <w:t>）境外学历（位）</w:t>
      </w:r>
      <w:bookmarkEnd w:id="72"/>
      <w:bookmarkEnd w:id="73"/>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持境外学历（位）报考的，</w:t>
      </w:r>
      <w:r>
        <w:rPr>
          <w:rFonts w:hint="eastAsia" w:ascii="仿宋_GB2312" w:eastAsia="仿宋_GB2312"/>
          <w:sz w:val="32"/>
          <w:szCs w:val="32"/>
          <w:highlight w:val="none"/>
          <w:lang w:eastAsia="zh-CN"/>
        </w:rPr>
        <w:t>或者属于</w:t>
      </w:r>
      <w:r>
        <w:rPr>
          <w:rFonts w:hint="eastAsia" w:ascii="仿宋_GB2312" w:eastAsia="仿宋_GB2312"/>
          <w:sz w:val="32"/>
          <w:szCs w:val="32"/>
          <w:highlight w:val="none"/>
        </w:rPr>
        <w:t>国内院校与国外院校联合办学取得境外学历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的，应提供教育部留学服务中心出具的</w:t>
      </w:r>
      <w:r>
        <w:rPr>
          <w:rFonts w:hint="eastAsia" w:ascii="仿宋_GB2312" w:eastAsia="仿宋_GB2312"/>
          <w:sz w:val="32"/>
          <w:szCs w:val="32"/>
          <w:highlight w:val="none"/>
          <w:lang w:eastAsia="zh-CN"/>
        </w:rPr>
        <w:t>有效证明材料</w:t>
      </w:r>
      <w:r>
        <w:rPr>
          <w:rFonts w:hint="eastAsia" w:ascii="仿宋_GB2312" w:eastAsia="仿宋_GB2312"/>
          <w:sz w:val="32"/>
          <w:szCs w:val="32"/>
          <w:highlight w:val="none"/>
        </w:rPr>
        <w:t>。</w:t>
      </w:r>
    </w:p>
    <w:p>
      <w:pPr>
        <w:pStyle w:val="3"/>
        <w:pageBreakBefore w:val="0"/>
        <w:kinsoku/>
        <w:wordWrap/>
        <w:overflowPunct/>
        <w:topLinePunct w:val="0"/>
        <w:autoSpaceDE/>
        <w:autoSpaceDN/>
        <w:bidi w:val="0"/>
        <w:spacing w:line="570" w:lineRule="exact"/>
        <w:textAlignment w:val="auto"/>
        <w:rPr>
          <w:rFonts w:hint="eastAsia"/>
        </w:rPr>
      </w:pPr>
      <w:bookmarkStart w:id="74" w:name="_Toc15746"/>
      <w:bookmarkStart w:id="75" w:name="_Toc13127"/>
      <w:r>
        <w:rPr>
          <w:rFonts w:hint="eastAsia"/>
        </w:rPr>
        <w:t>（</w:t>
      </w:r>
      <w:r>
        <w:rPr>
          <w:rFonts w:hint="eastAsia"/>
          <w:lang w:eastAsia="zh-CN"/>
        </w:rPr>
        <w:t>四</w:t>
      </w:r>
      <w:r>
        <w:rPr>
          <w:rFonts w:hint="eastAsia"/>
        </w:rPr>
        <w:t>）我省“双学位”“双专业”学历</w:t>
      </w:r>
      <w:bookmarkEnd w:id="74"/>
      <w:bookmarkEnd w:id="75"/>
    </w:p>
    <w:p>
      <w:pPr>
        <w:pageBreakBefore w:val="0"/>
        <w:kinsoku/>
        <w:wordWrap/>
        <w:overflowPunct/>
        <w:topLinePunct w:val="0"/>
        <w:autoSpaceDE/>
        <w:autoSpaceDN/>
        <w:bidi w:val="0"/>
        <w:snapToGrid w:val="0"/>
        <w:spacing w:line="570" w:lineRule="exact"/>
        <w:ind w:firstLine="600"/>
        <w:jc w:val="left"/>
        <w:textAlignment w:val="auto"/>
        <w:rPr>
          <w:rFonts w:ascii="仿宋_GB2312" w:eastAsia="仿宋_GB2312"/>
          <w:sz w:val="32"/>
          <w:szCs w:val="32"/>
        </w:rPr>
      </w:pPr>
      <w:r>
        <w:rPr>
          <w:rFonts w:hint="eastAsia" w:ascii="仿宋_GB2312" w:eastAsia="仿宋_GB2312"/>
          <w:sz w:val="32"/>
          <w:szCs w:val="32"/>
        </w:rPr>
        <w:t>根据《关于在全省高校毕业生中试行“双学位”“双专业”教育的意见》（闽教高〔2009〕9号），经修读达到毕业条件并获得“双学位”“双专业”证书的报考者，在本省范围内承认其学历、学位。</w:t>
      </w:r>
    </w:p>
    <w:p>
      <w:pPr>
        <w:pStyle w:val="3"/>
        <w:pageBreakBefore w:val="0"/>
        <w:kinsoku/>
        <w:wordWrap/>
        <w:overflowPunct/>
        <w:topLinePunct w:val="0"/>
        <w:autoSpaceDE/>
        <w:autoSpaceDN/>
        <w:bidi w:val="0"/>
        <w:spacing w:line="570" w:lineRule="exact"/>
        <w:textAlignment w:val="auto"/>
        <w:rPr>
          <w:rFonts w:hint="eastAsia"/>
        </w:rPr>
      </w:pPr>
      <w:bookmarkStart w:id="76" w:name="_Toc15913"/>
      <w:bookmarkStart w:id="77" w:name="_Toc2557"/>
      <w:r>
        <w:rPr>
          <w:rFonts w:hint="eastAsia"/>
        </w:rPr>
        <w:t>（</w:t>
      </w:r>
      <w:r>
        <w:rPr>
          <w:rFonts w:hint="eastAsia"/>
          <w:lang w:eastAsia="zh-CN"/>
        </w:rPr>
        <w:t>五</w:t>
      </w:r>
      <w:r>
        <w:rPr>
          <w:rFonts w:hint="eastAsia"/>
        </w:rPr>
        <w:t>）提醒事项</w:t>
      </w:r>
      <w:bookmarkEnd w:id="76"/>
      <w:bookmarkEnd w:id="77"/>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面试资格复核时，招聘单位将对学历（位）进行核查，请考生按照上述要求，提前做好相应认证报告或网上查验准备</w:t>
      </w:r>
      <w:r>
        <w:rPr>
          <w:rFonts w:hint="eastAsia" w:ascii="仿宋_GB2312" w:hAnsi="仿宋_GB2312" w:eastAsia="仿宋_GB2312" w:cs="仿宋_GB2312"/>
          <w:sz w:val="32"/>
          <w:szCs w:val="32"/>
        </w:rPr>
        <w:t>。</w:t>
      </w:r>
    </w:p>
    <w:p>
      <w:pPr>
        <w:pageBreakBefore w:val="0"/>
        <w:shd w:val="clear"/>
        <w:kinsoku/>
        <w:wordWrap/>
        <w:overflowPunct/>
        <w:topLinePunct w:val="0"/>
        <w:autoSpaceDE/>
        <w:autoSpaceDN/>
        <w:bidi w:val="0"/>
        <w:spacing w:line="57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eastAsia="仿宋_GB2312"/>
          <w:color w:val="auto"/>
          <w:sz w:val="32"/>
          <w:szCs w:val="32"/>
          <w:highlight w:val="none"/>
        </w:rPr>
        <w:t>2024届高校毕业生在岗位资格复核时，尚无法提供学历（位）证书及其认证材料原件的，须提供有效的《全国普通高等学校毕业生就业协议书》或相关证明，且须于2024年12月31日前取得并能提供符合岗位报考资格条件的学历（位）证书及其认证材料，否则视为自动放弃考试（聘用）资格。</w:t>
      </w:r>
    </w:p>
    <w:p>
      <w:pPr>
        <w:pStyle w:val="2"/>
        <w:pageBreakBefore w:val="0"/>
        <w:kinsoku/>
        <w:wordWrap/>
        <w:overflowPunct/>
        <w:topLinePunct w:val="0"/>
        <w:autoSpaceDE/>
        <w:autoSpaceDN/>
        <w:bidi w:val="0"/>
        <w:spacing w:line="570" w:lineRule="exact"/>
        <w:textAlignment w:val="auto"/>
      </w:pPr>
      <w:bookmarkStart w:id="78" w:name="_Toc102806541"/>
      <w:bookmarkStart w:id="79" w:name="_Toc17537"/>
      <w:bookmarkStart w:id="80" w:name="_Toc1334"/>
      <w:r>
        <w:rPr>
          <w:rFonts w:hint="eastAsia"/>
        </w:rPr>
        <w:t>六、专业</w:t>
      </w:r>
      <w:bookmarkEnd w:id="78"/>
      <w:bookmarkEnd w:id="79"/>
      <w:bookmarkEnd w:id="80"/>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bdr w:val="single" w:color="auto" w:sz="4" w:space="0"/>
        </w:rPr>
      </w:pPr>
      <w:r>
        <w:rPr>
          <w:rFonts w:hint="eastAsia" w:ascii="仿宋_GB2312" w:eastAsia="仿宋_GB2312"/>
          <w:sz w:val="32"/>
          <w:szCs w:val="32"/>
        </w:rPr>
        <w:t>本次招考以《福建省机关事业单位招考专业指导目录</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sz w:val="32"/>
          <w:szCs w:val="32"/>
        </w:rPr>
        <w:t>（文中简称《专业指导目录》）作为岗位专业条件设置和审核的依据。其他来源的专业指导目录不作为本次报考和审核的依据</w:t>
      </w:r>
      <w:r>
        <w:rPr>
          <w:rFonts w:hint="eastAsia" w:ascii="仿宋_GB2312" w:hAnsi="仿宋_GB2312" w:eastAsia="仿宋_GB2312" w:cs="仿宋_GB2312"/>
          <w:sz w:val="32"/>
          <w:szCs w:val="32"/>
        </w:rPr>
        <w:t>。</w:t>
      </w:r>
    </w:p>
    <w:p>
      <w:pPr>
        <w:pStyle w:val="3"/>
        <w:pageBreakBefore w:val="0"/>
        <w:kinsoku/>
        <w:wordWrap/>
        <w:overflowPunct/>
        <w:topLinePunct w:val="0"/>
        <w:autoSpaceDE/>
        <w:autoSpaceDN/>
        <w:bidi w:val="0"/>
        <w:spacing w:line="570" w:lineRule="exact"/>
        <w:textAlignment w:val="auto"/>
        <w:rPr>
          <w:rFonts w:hint="eastAsia"/>
        </w:rPr>
      </w:pPr>
      <w:bookmarkStart w:id="81" w:name="_Toc102806542"/>
      <w:bookmarkStart w:id="82" w:name="_Toc18154"/>
      <w:bookmarkStart w:id="83" w:name="_Toc27907"/>
      <w:r>
        <w:rPr>
          <w:rFonts w:hint="eastAsia"/>
        </w:rPr>
        <w:t>（一）填报专业名称</w:t>
      </w:r>
      <w:bookmarkEnd w:id="81"/>
      <w:bookmarkEnd w:id="82"/>
      <w:bookmarkEnd w:id="83"/>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专业以毕业证书上注明的为准，</w:t>
      </w:r>
      <w:r>
        <w:rPr>
          <w:rFonts w:hint="eastAsia" w:ascii="仿宋_GB2312" w:hAnsi="仿宋_GB2312" w:eastAsia="仿宋_GB2312" w:cs="仿宋_GB2312"/>
          <w:sz w:val="32"/>
          <w:szCs w:val="32"/>
        </w:rPr>
        <w:t>报考者</w:t>
      </w:r>
      <w:r>
        <w:rPr>
          <w:rFonts w:hint="eastAsia" w:ascii="仿宋_GB2312" w:hAnsi="仿宋_GB2312" w:eastAsia="仿宋_GB2312" w:cs="仿宋_GB2312"/>
          <w:b/>
          <w:sz w:val="32"/>
          <w:szCs w:val="32"/>
        </w:rPr>
        <w:t>只字不差</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如实填写</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hAnsi="仿宋_GB2312" w:eastAsia="仿宋_GB2312" w:cs="仿宋_GB2312"/>
          <w:color w:val="auto"/>
          <w:sz w:val="32"/>
          <w:szCs w:val="32"/>
          <w:lang w:val="en-US" w:eastAsia="zh-CN"/>
        </w:rPr>
        <w:t>招聘</w:t>
      </w:r>
      <w:r>
        <w:rPr>
          <w:rFonts w:hint="default" w:ascii="仿宋_GB2312" w:hAnsi="仿宋_GB2312" w:eastAsia="仿宋_GB2312" w:cs="仿宋_GB2312"/>
          <w:color w:val="auto"/>
          <w:sz w:val="32"/>
          <w:szCs w:val="32"/>
          <w:lang w:val="en-US" w:eastAsia="zh-CN"/>
        </w:rPr>
        <w:t>单位要求提供学校教务部门出具的证明材料。</w:t>
      </w:r>
    </w:p>
    <w:p>
      <w:pPr>
        <w:pageBreakBefore w:val="0"/>
        <w:kinsoku/>
        <w:wordWrap/>
        <w:overflowPunct/>
        <w:topLinePunct w:val="0"/>
        <w:autoSpaceDE/>
        <w:autoSpaceDN/>
        <w:bidi w:val="0"/>
        <w:snapToGrid w:val="0"/>
        <w:spacing w:line="570" w:lineRule="exact"/>
        <w:ind w:firstLine="640" w:firstLineChars="200"/>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以境外学历报考且专业名称为非汉语的，以教育部留学服务中心出具的相关证明为准。</w:t>
      </w:r>
    </w:p>
    <w:p>
      <w:pPr>
        <w:pStyle w:val="3"/>
        <w:pageBreakBefore w:val="0"/>
        <w:kinsoku/>
        <w:wordWrap/>
        <w:overflowPunct/>
        <w:topLinePunct w:val="0"/>
        <w:autoSpaceDE/>
        <w:autoSpaceDN/>
        <w:bidi w:val="0"/>
        <w:spacing w:line="570" w:lineRule="exact"/>
        <w:textAlignment w:val="auto"/>
        <w:rPr>
          <w:rFonts w:hint="eastAsia"/>
        </w:rPr>
      </w:pPr>
      <w:bookmarkStart w:id="84" w:name="_Toc102806543"/>
      <w:bookmarkStart w:id="85" w:name="_Toc8207"/>
      <w:bookmarkStart w:id="86" w:name="_Toc30436"/>
      <w:r>
        <w:rPr>
          <w:rFonts w:hint="eastAsia"/>
        </w:rPr>
        <w:t>（二）专业与学历（位）的对应关系</w:t>
      </w:r>
      <w:bookmarkEnd w:id="84"/>
      <w:bookmarkEnd w:id="85"/>
      <w:bookmarkEnd w:id="86"/>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例如，岗位要求本科学历、学士学位、工商管理专业。</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考生A：取得英语专业本科学历、学士学位，后读取工商管理专业硕士学位（单证，无学历），该考生可报考该岗位。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考生B：取得英语专业本科学历、学士学位，后攻读工商管理专业硕士研究生（仅取得研究生学历未获硕士学位），该考生可报考该岗位。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考生C：取得英语专业本科学历、学士学位，辅修工商管理专业取得学士学位，该考生可报考该岗位。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考生D：取得英语专业本科学历、学士学位，函授工商管理专业取得本科学历，该考生可报考该岗位。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考生E：取得工商管理专业大专学历，专升本取得英语专业本科学历、学士学位，该考生不能报考该岗位。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考生F：取得英语专业本科学历（未取得学士学位），取得工商管理专业硕士学位（无学历），该考生可报考该岗位。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考生G：取得英语专业本科学历、学士学位，工商管理专业肄业，该考生不能报考该岗位</w:t>
      </w:r>
      <w:r>
        <w:rPr>
          <w:rFonts w:hint="eastAsia" w:ascii="仿宋_GB2312" w:hAnsi="仿宋_GB2312" w:eastAsia="仿宋_GB2312" w:cs="仿宋_GB2312"/>
          <w:sz w:val="32"/>
          <w:szCs w:val="32"/>
        </w:rPr>
        <w:t>。</w:t>
      </w:r>
    </w:p>
    <w:p>
      <w:pPr>
        <w:pStyle w:val="3"/>
        <w:pageBreakBefore w:val="0"/>
        <w:kinsoku/>
        <w:wordWrap/>
        <w:overflowPunct/>
        <w:topLinePunct w:val="0"/>
        <w:autoSpaceDE/>
        <w:autoSpaceDN/>
        <w:bidi w:val="0"/>
        <w:spacing w:line="570" w:lineRule="exact"/>
        <w:textAlignment w:val="auto"/>
      </w:pPr>
      <w:bookmarkStart w:id="87" w:name="_Toc102806544"/>
      <w:bookmarkStart w:id="88" w:name="_Toc20853"/>
      <w:bookmarkStart w:id="89" w:name="_Toc27734"/>
      <w:r>
        <w:rPr>
          <w:rFonts w:hint="eastAsia"/>
        </w:rPr>
        <w:t>（三）专业资格的认定</w:t>
      </w:r>
      <w:bookmarkEnd w:id="87"/>
      <w:bookmarkEnd w:id="88"/>
      <w:bookmarkEnd w:id="89"/>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将专业条件设置为“××类”的招聘岗位，报考者所学专业须符合《专业指导目录》中“××类”下所列专业；将专业条件设置为具体专业名称的，报考者所学专业须符合所列专业。</w:t>
      </w:r>
    </w:p>
    <w:p>
      <w:pPr>
        <w:pageBreakBefore w:val="0"/>
        <w:kinsoku/>
        <w:wordWrap/>
        <w:overflowPunct/>
        <w:topLinePunct w:val="0"/>
        <w:autoSpaceDE/>
        <w:autoSpaceDN/>
        <w:bidi w:val="0"/>
        <w:snapToGrid w:val="0"/>
        <w:spacing w:line="57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专业要求“临床医学”专业的，含“临床医学”或“临床医学硕士”或“临床医学博士”，其他专业以此类推。</w:t>
      </w:r>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岗位资格条件要求“专业方向”的，报考者需提供</w:t>
      </w:r>
      <w:r>
        <w:rPr>
          <w:rFonts w:hint="eastAsia" w:ascii="仿宋_GB2312" w:hAnsi="仿宋_GB2312" w:eastAsia="仿宋_GB2312" w:cs="仿宋_GB2312"/>
          <w:color w:val="auto"/>
          <w:sz w:val="32"/>
          <w:szCs w:val="32"/>
          <w:highlight w:val="none"/>
        </w:rPr>
        <w:t>学历证、学位证、</w:t>
      </w:r>
      <w:r>
        <w:rPr>
          <w:rFonts w:hint="eastAsia" w:ascii="仿宋_GB2312" w:hAnsi="仿宋_GB2312" w:eastAsia="仿宋_GB2312" w:cs="仿宋_GB2312"/>
          <w:color w:val="auto"/>
          <w:sz w:val="32"/>
          <w:szCs w:val="32"/>
          <w:highlight w:val="none"/>
          <w:lang w:eastAsia="zh-CN"/>
        </w:rPr>
        <w:t>主干课程成绩、论文发表情况、学校证明等有效凭证，由招聘单位会同主管部门负责认定。</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经与招聘单位沟通，若报考者对专业资格审查结果仍有异议的，可在规定期限内及时通过“报名系统”的申诉通道提出申诉。</w:t>
      </w:r>
    </w:p>
    <w:p>
      <w:pPr>
        <w:pStyle w:val="2"/>
        <w:pageBreakBefore w:val="0"/>
        <w:kinsoku/>
        <w:wordWrap/>
        <w:overflowPunct/>
        <w:topLinePunct w:val="0"/>
        <w:autoSpaceDE/>
        <w:autoSpaceDN/>
        <w:bidi w:val="0"/>
        <w:spacing w:line="570" w:lineRule="exact"/>
        <w:textAlignment w:val="auto"/>
        <w:rPr>
          <w:rFonts w:hint="eastAsia" w:eastAsia="黑体"/>
          <w:lang w:eastAsia="zh-CN"/>
        </w:rPr>
      </w:pPr>
      <w:bookmarkStart w:id="90" w:name="_Toc11512"/>
      <w:bookmarkStart w:id="91" w:name="_Toc102806545"/>
      <w:bookmarkStart w:id="92" w:name="_Toc3567"/>
      <w:r>
        <w:rPr>
          <w:rFonts w:hint="eastAsia"/>
        </w:rPr>
        <w:t>七、工作</w:t>
      </w:r>
      <w:bookmarkEnd w:id="90"/>
      <w:bookmarkEnd w:id="91"/>
      <w:r>
        <w:rPr>
          <w:rFonts w:hint="eastAsia"/>
          <w:lang w:eastAsia="zh-CN"/>
        </w:rPr>
        <w:t>经历（验）</w:t>
      </w:r>
      <w:bookmarkEnd w:id="92"/>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资格条件要求的“专业工作经验”，应聘人员须提供养老保险缴费凭证或工资发放表等有效凭证、聘用(劳动)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全日制普通教育期间的</w:t>
      </w:r>
      <w:r>
        <w:rPr>
          <w:rFonts w:hint="eastAsia" w:ascii="仿宋_GB2312" w:hAnsi="仿宋_GB2312" w:eastAsia="仿宋_GB2312" w:cs="仿宋_GB2312"/>
          <w:sz w:val="32"/>
          <w:szCs w:val="32"/>
          <w:lang w:eastAsia="zh-CN"/>
        </w:rPr>
        <w:t>实习、</w:t>
      </w:r>
      <w:r>
        <w:rPr>
          <w:rFonts w:hint="eastAsia" w:ascii="仿宋_GB2312" w:hAnsi="仿宋_GB2312" w:eastAsia="仿宋_GB2312" w:cs="仿宋_GB2312"/>
          <w:sz w:val="32"/>
          <w:szCs w:val="32"/>
        </w:rPr>
        <w:t>社会实践经历(含兼职工作等)，不能视为工作经</w:t>
      </w:r>
      <w:r>
        <w:rPr>
          <w:rFonts w:hint="eastAsia" w:ascii="仿宋_GB2312" w:hAnsi="仿宋_GB2312" w:eastAsia="仿宋_GB2312" w:cs="仿宋_GB2312"/>
          <w:sz w:val="32"/>
          <w:szCs w:val="32"/>
          <w:lang w:eastAsia="zh-CN"/>
        </w:rPr>
        <w:t>历（</w:t>
      </w:r>
      <w:r>
        <w:rPr>
          <w:rFonts w:hint="eastAsia" w:ascii="仿宋_GB2312" w:hAnsi="仿宋_GB2312" w:eastAsia="仿宋_GB2312" w:cs="仿宋_GB2312"/>
          <w:sz w:val="32"/>
          <w:szCs w:val="32"/>
        </w:rPr>
        <w:t>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岗位资格条件要求的工作经</w:t>
      </w:r>
      <w:r>
        <w:rPr>
          <w:rFonts w:hint="eastAsia" w:ascii="仿宋_GB2312" w:hAnsi="仿宋_GB2312" w:eastAsia="仿宋_GB2312" w:cs="仿宋_GB2312"/>
          <w:sz w:val="32"/>
          <w:szCs w:val="32"/>
          <w:lang w:eastAsia="zh-CN"/>
        </w:rPr>
        <w:t>历（</w:t>
      </w:r>
      <w:r>
        <w:rPr>
          <w:rFonts w:hint="eastAsia" w:ascii="仿宋_GB2312" w:hAnsi="仿宋_GB2312" w:eastAsia="仿宋_GB2312" w:cs="仿宋_GB2312"/>
          <w:sz w:val="32"/>
          <w:szCs w:val="32"/>
        </w:rPr>
        <w:t>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年限可以分段按月合并计算。不同单位的相同（似）工作经验证明可分别开具，累计计算。</w:t>
      </w:r>
    </w:p>
    <w:p>
      <w:pPr>
        <w:pStyle w:val="2"/>
        <w:pageBreakBefore w:val="0"/>
        <w:kinsoku/>
        <w:wordWrap/>
        <w:overflowPunct/>
        <w:topLinePunct w:val="0"/>
        <w:autoSpaceDE/>
        <w:autoSpaceDN/>
        <w:bidi w:val="0"/>
        <w:spacing w:line="570" w:lineRule="exact"/>
        <w:textAlignment w:val="auto"/>
        <w:rPr>
          <w:highlight w:val="none"/>
        </w:rPr>
      </w:pPr>
      <w:bookmarkStart w:id="93" w:name="_Toc6336"/>
      <w:bookmarkStart w:id="94" w:name="_Toc102806546"/>
      <w:bookmarkStart w:id="95" w:name="_Toc12738"/>
      <w:r>
        <w:rPr>
          <w:rFonts w:hint="eastAsia"/>
          <w:highlight w:val="none"/>
        </w:rPr>
        <w:t>八、可免笔试情形</w:t>
      </w:r>
      <w:bookmarkEnd w:id="93"/>
      <w:bookmarkEnd w:id="94"/>
      <w:bookmarkEnd w:id="95"/>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招聘岗位要求副高以上专业技术职务任职资格的，招聘组织单位可根据实际情况，准许具有与招聘岗位专业要求相一致的副高以上专业技术职务任职资格的应聘人员免笔试直接参加面试，但当岗位符合条件的报名人数（指通过网上报名资格审核的人数，下同）与拟聘用人数比例超过5:1（不含5:1）时，所有报考人员均须参加笔试。</w:t>
      </w:r>
      <w:r>
        <w:rPr>
          <w:rFonts w:hint="eastAsia" w:ascii="仿宋_GB2312" w:hAnsi="仿宋_GB2312" w:eastAsia="仿宋_GB2312" w:cs="仿宋_GB2312"/>
          <w:sz w:val="32"/>
          <w:szCs w:val="32"/>
          <w:highlight w:val="none"/>
        </w:rPr>
        <w:t>其他岗位人员均须参加笔试。</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免笔试岗位由招聘单位及其主管部门于报名结束后，根据具体情况及时</w:t>
      </w:r>
      <w:r>
        <w:rPr>
          <w:rFonts w:hint="eastAsia" w:ascii="仿宋_GB2312" w:hAnsi="仿宋_GB2312" w:eastAsia="仿宋_GB2312" w:cs="仿宋_GB2312"/>
          <w:sz w:val="32"/>
          <w:szCs w:val="32"/>
          <w:highlight w:val="none"/>
        </w:rPr>
        <w:t>研究提出，经区人社局同意并事前报备市人社局</w:t>
      </w:r>
      <w:r>
        <w:rPr>
          <w:rFonts w:hint="eastAsia" w:ascii="仿宋_GB2312" w:eastAsia="仿宋_GB2312"/>
          <w:sz w:val="32"/>
          <w:szCs w:val="32"/>
          <w:highlight w:val="none"/>
        </w:rPr>
        <w:t>。</w:t>
      </w:r>
    </w:p>
    <w:p>
      <w:pPr>
        <w:pStyle w:val="2"/>
        <w:pageBreakBefore w:val="0"/>
        <w:kinsoku/>
        <w:wordWrap/>
        <w:overflowPunct/>
        <w:topLinePunct w:val="0"/>
        <w:autoSpaceDE/>
        <w:autoSpaceDN/>
        <w:bidi w:val="0"/>
        <w:spacing w:line="570" w:lineRule="exact"/>
        <w:textAlignment w:val="auto"/>
      </w:pPr>
      <w:bookmarkStart w:id="96" w:name="_Toc102806547"/>
      <w:bookmarkStart w:id="97" w:name="_Toc70495082"/>
      <w:bookmarkStart w:id="98" w:name="_Toc12832"/>
      <w:bookmarkStart w:id="99" w:name="_Toc16673"/>
      <w:r>
        <w:rPr>
          <w:rFonts w:hint="eastAsia"/>
        </w:rPr>
        <w:t>九、岗位开考比例</w:t>
      </w:r>
      <w:bookmarkEnd w:id="96"/>
      <w:bookmarkEnd w:id="97"/>
      <w:bookmarkEnd w:id="98"/>
      <w:bookmarkEnd w:id="99"/>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符合岗位资格条件的报名人数与岗位拟聘人数比例达不到3:1的，原则上应相应减少招聘人数或取消开考。</w:t>
      </w:r>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eastAsia="仿宋_GB2312"/>
          <w:sz w:val="32"/>
          <w:szCs w:val="32"/>
        </w:rPr>
      </w:pPr>
      <w:bookmarkStart w:id="100" w:name="_Toc102806548"/>
      <w:r>
        <w:rPr>
          <w:rFonts w:hint="eastAsia" w:ascii="仿宋_GB2312" w:eastAsia="仿宋_GB2312"/>
          <w:sz w:val="32"/>
          <w:szCs w:val="32"/>
        </w:rPr>
        <w:t>按要求取消开考、减少招聘人数的岗位由招聘单位及其主管部门研究提出意见，经区人社局同意并报备市人社局后在“考务信息通知平台”另行公告。情况特殊确需降低开考比例的岗位，由招聘单位及其主管部门研究提出意见，经区人社局同意并报市人社局批准后在“考务信息通知平台”另行公告。</w:t>
      </w:r>
    </w:p>
    <w:p>
      <w:pPr>
        <w:pStyle w:val="2"/>
        <w:pageBreakBefore w:val="0"/>
        <w:kinsoku/>
        <w:wordWrap/>
        <w:overflowPunct/>
        <w:topLinePunct w:val="0"/>
        <w:autoSpaceDE/>
        <w:autoSpaceDN/>
        <w:bidi w:val="0"/>
        <w:spacing w:line="570" w:lineRule="exact"/>
        <w:textAlignment w:val="auto"/>
      </w:pPr>
      <w:bookmarkStart w:id="101" w:name="_Toc2244"/>
      <w:bookmarkStart w:id="102" w:name="_Toc9325"/>
      <w:r>
        <w:rPr>
          <w:rFonts w:hint="eastAsia"/>
        </w:rPr>
        <w:t>十、笔试加分</w:t>
      </w:r>
      <w:bookmarkEnd w:id="100"/>
      <w:bookmarkEnd w:id="101"/>
      <w:bookmarkEnd w:id="102"/>
    </w:p>
    <w:p>
      <w:pPr>
        <w:pStyle w:val="3"/>
        <w:pageBreakBefore w:val="0"/>
        <w:kinsoku/>
        <w:wordWrap/>
        <w:overflowPunct/>
        <w:topLinePunct w:val="0"/>
        <w:autoSpaceDE/>
        <w:autoSpaceDN/>
        <w:bidi w:val="0"/>
        <w:spacing w:line="570" w:lineRule="exact"/>
        <w:textAlignment w:val="auto"/>
      </w:pPr>
      <w:bookmarkStart w:id="103" w:name="_Toc102806549"/>
      <w:bookmarkStart w:id="104" w:name="_Toc12734"/>
      <w:bookmarkStart w:id="105" w:name="_Toc126"/>
      <w:r>
        <w:rPr>
          <w:rFonts w:hint="eastAsia"/>
        </w:rPr>
        <w:t>（一）加分原则</w:t>
      </w:r>
      <w:bookmarkEnd w:id="103"/>
      <w:bookmarkEnd w:id="104"/>
      <w:bookmarkEnd w:id="105"/>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笔试成绩=笔试卷面分+各项加分。</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加分仅限于笔试卷面分，免笔试人员在面试环节不享受加分。加分不受笔试满分限制。</w:t>
      </w:r>
      <w:r>
        <w:rPr>
          <w:rFonts w:hint="eastAsia" w:ascii="仿宋_GB2312" w:eastAsia="仿宋_GB2312"/>
          <w:b/>
          <w:bCs/>
          <w:sz w:val="32"/>
          <w:szCs w:val="32"/>
        </w:rPr>
        <w:t>各项加分可累计计算，但累计最高不超过10分。</w:t>
      </w:r>
      <w:r>
        <w:rPr>
          <w:rFonts w:hint="eastAsia" w:ascii="仿宋_GB2312" w:eastAsia="仿宋_GB2312"/>
          <w:sz w:val="32"/>
          <w:szCs w:val="32"/>
        </w:rPr>
        <w:t>曾通过享受政策待遇被录（聘）为公务员或事业单位编内工作人员的，不再享受相应项目的加分</w:t>
      </w:r>
      <w:r>
        <w:rPr>
          <w:rFonts w:hint="eastAsia" w:ascii="仿宋_GB2312" w:hAnsi="仿宋_GB2312" w:eastAsia="仿宋_GB2312" w:cs="仿宋_GB2312"/>
          <w:sz w:val="32"/>
          <w:szCs w:val="32"/>
        </w:rPr>
        <w:t>。</w:t>
      </w:r>
    </w:p>
    <w:p>
      <w:pPr>
        <w:pStyle w:val="3"/>
        <w:pageBreakBefore w:val="0"/>
        <w:kinsoku/>
        <w:wordWrap/>
        <w:overflowPunct/>
        <w:topLinePunct w:val="0"/>
        <w:autoSpaceDE/>
        <w:autoSpaceDN/>
        <w:bidi w:val="0"/>
        <w:spacing w:line="570" w:lineRule="exact"/>
        <w:textAlignment w:val="auto"/>
      </w:pPr>
      <w:bookmarkStart w:id="106" w:name="_Toc102806550"/>
      <w:bookmarkStart w:id="107" w:name="_Toc12433"/>
      <w:bookmarkStart w:id="108" w:name="_Toc27612"/>
      <w:r>
        <w:rPr>
          <w:rFonts w:hint="eastAsia"/>
        </w:rPr>
        <w:t>（二）加分对象</w:t>
      </w:r>
      <w:bookmarkEnd w:id="106"/>
      <w:bookmarkEnd w:id="107"/>
      <w:bookmarkEnd w:id="108"/>
    </w:p>
    <w:p>
      <w:pPr>
        <w:pageBreakBefore w:val="0"/>
        <w:kinsoku/>
        <w:wordWrap/>
        <w:overflowPunct/>
        <w:topLinePunct w:val="0"/>
        <w:autoSpaceDE/>
        <w:autoSpaceDN/>
        <w:bidi w:val="0"/>
        <w:spacing w:line="570" w:lineRule="exact"/>
        <w:ind w:firstLine="640" w:firstLineChars="200"/>
        <w:textAlignment w:val="auto"/>
        <w:rPr>
          <w:rFonts w:ascii="仿宋" w:hAnsi="仿宋" w:eastAsia="仿宋"/>
          <w:sz w:val="32"/>
          <w:szCs w:val="32"/>
        </w:rPr>
      </w:pPr>
      <w:bookmarkStart w:id="109" w:name="_Toc17898"/>
      <w:bookmarkStart w:id="110" w:name="_Toc25371"/>
      <w:bookmarkStart w:id="111" w:name="_Toc9098"/>
      <w:bookmarkStart w:id="112" w:name="_Toc13976"/>
      <w:bookmarkStart w:id="113" w:name="_Toc10848"/>
      <w:bookmarkStart w:id="114" w:name="_Toc15632"/>
      <w:r>
        <w:rPr>
          <w:rFonts w:hint="eastAsia" w:ascii="仿宋" w:hAnsi="仿宋" w:eastAsia="仿宋"/>
          <w:sz w:val="32"/>
          <w:szCs w:val="32"/>
        </w:rPr>
        <w:t>经报名资格审核通过并符合以下加分政策的报考人员可享受笔试加分待遇：</w:t>
      </w:r>
    </w:p>
    <w:p>
      <w:pPr>
        <w:pStyle w:val="4"/>
        <w:pageBreakBefore w:val="0"/>
        <w:kinsoku/>
        <w:wordWrap/>
        <w:overflowPunct/>
        <w:topLinePunct w:val="0"/>
        <w:autoSpaceDE/>
        <w:autoSpaceDN/>
        <w:bidi w:val="0"/>
        <w:spacing w:line="570" w:lineRule="exact"/>
        <w:textAlignment w:val="auto"/>
      </w:pPr>
      <w:bookmarkStart w:id="115" w:name="_Toc1416"/>
      <w:bookmarkStart w:id="116" w:name="_Toc102806551"/>
      <w:bookmarkStart w:id="117" w:name="_Toc14020"/>
      <w:r>
        <w:rPr>
          <w:rFonts w:hint="eastAsia"/>
        </w:rPr>
        <w:t>1.服务基层项目高校毕业人员</w:t>
      </w:r>
      <w:bookmarkEnd w:id="109"/>
      <w:bookmarkEnd w:id="110"/>
      <w:bookmarkEnd w:id="111"/>
      <w:bookmarkEnd w:id="112"/>
      <w:bookmarkEnd w:id="113"/>
      <w:bookmarkEnd w:id="114"/>
      <w:bookmarkEnd w:id="115"/>
      <w:bookmarkEnd w:id="116"/>
      <w:bookmarkEnd w:id="117"/>
    </w:p>
    <w:p>
      <w:pPr>
        <w:pageBreakBefore w:val="0"/>
        <w:kinsoku/>
        <w:wordWrap/>
        <w:overflowPunct/>
        <w:topLinePunct w:val="0"/>
        <w:autoSpaceDE/>
        <w:autoSpaceDN/>
        <w:bidi w:val="0"/>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参加国家和福建省组织实施的“三支一扶”计划、“志愿服务西部计划”（含研究生支教团）、“志愿服务欠发达地区计划”和“服务社区计划”等，服务期限为1年及以上且</w:t>
      </w:r>
      <w:r>
        <w:rPr>
          <w:rFonts w:hint="eastAsia" w:ascii="仿宋_GB2312" w:eastAsia="仿宋_GB2312"/>
          <w:color w:val="auto"/>
          <w:sz w:val="32"/>
          <w:szCs w:val="32"/>
        </w:rPr>
        <w:t>于</w:t>
      </w:r>
      <w:r>
        <w:rPr>
          <w:rFonts w:hint="eastAsia" w:ascii="仿宋_GB2312" w:eastAsia="仿宋_GB2312"/>
          <w:color w:val="auto"/>
          <w:sz w:val="32"/>
          <w:szCs w:val="32"/>
          <w:lang w:val="en-US" w:eastAsia="zh-CN"/>
        </w:rPr>
        <w:t>2</w:t>
      </w:r>
      <w:r>
        <w:rPr>
          <w:rFonts w:hint="eastAsia" w:ascii="仿宋_GB2312" w:eastAsia="仿宋_GB2312"/>
          <w:color w:val="auto"/>
          <w:sz w:val="32"/>
          <w:szCs w:val="32"/>
          <w:highlight w:val="none"/>
          <w:lang w:val="en-US" w:eastAsia="zh-CN"/>
        </w:rPr>
        <w:t>024年12月31日</w:t>
      </w:r>
      <w:r>
        <w:rPr>
          <w:rFonts w:hint="eastAsia" w:ascii="仿宋_GB2312" w:eastAsia="仿宋_GB2312"/>
          <w:color w:val="auto"/>
          <w:sz w:val="32"/>
          <w:szCs w:val="32"/>
          <w:highlight w:val="none"/>
          <w:lang w:eastAsia="zh-CN"/>
        </w:rPr>
        <w:t>前</w:t>
      </w:r>
      <w:r>
        <w:rPr>
          <w:rFonts w:hint="eastAsia" w:ascii="仿宋_GB2312" w:eastAsia="仿宋_GB2312"/>
          <w:sz w:val="32"/>
          <w:szCs w:val="32"/>
        </w:rPr>
        <w:t>期满考核合格的福建户籍或福建生源高校毕业人员：</w:t>
      </w:r>
      <w:r>
        <w:rPr>
          <w:rFonts w:hint="eastAsia" w:ascii="仿宋_GB2312" w:eastAsia="仿宋_GB2312"/>
          <w:color w:val="auto"/>
          <w:sz w:val="32"/>
          <w:szCs w:val="32"/>
          <w:highlight w:val="none"/>
        </w:rPr>
        <w:t>服务期限2年及以上且期满考核合格的服务基层项目毕业生，</w:t>
      </w:r>
      <w:r>
        <w:rPr>
          <w:rFonts w:hint="eastAsia" w:ascii="仿宋_GB2312" w:eastAsia="仿宋_GB2312"/>
          <w:strike w:val="0"/>
          <w:dstrike w:val="0"/>
          <w:sz w:val="32"/>
          <w:szCs w:val="32"/>
        </w:rPr>
        <w:t>报考市属事业单位笔试卷面分加3分</w:t>
      </w:r>
      <w:r>
        <w:rPr>
          <w:rFonts w:hint="eastAsia" w:ascii="仿宋_GB2312" w:eastAsia="仿宋_GB2312"/>
          <w:strike w:val="0"/>
          <w:dstrike w:val="0"/>
          <w:sz w:val="32"/>
          <w:szCs w:val="32"/>
          <w:lang w:eastAsia="zh-CN"/>
        </w:rPr>
        <w:t>，</w:t>
      </w:r>
      <w:r>
        <w:rPr>
          <w:rFonts w:hint="eastAsia" w:ascii="仿宋_GB2312" w:eastAsia="仿宋_GB2312"/>
          <w:color w:val="auto"/>
          <w:sz w:val="32"/>
          <w:szCs w:val="32"/>
          <w:highlight w:val="none"/>
        </w:rPr>
        <w:t>报考区属事业单位笔试卷面分加5分；服务期限1年及以上不满2年且期满考核合格的服务基层项目毕业生，</w:t>
      </w:r>
      <w:r>
        <w:rPr>
          <w:rFonts w:hint="eastAsia" w:ascii="仿宋_GB2312" w:eastAsia="仿宋_GB2312"/>
          <w:strike w:val="0"/>
          <w:dstrike w:val="0"/>
          <w:sz w:val="32"/>
          <w:szCs w:val="32"/>
        </w:rPr>
        <w:t>报考市属事业单位不加分</w:t>
      </w:r>
      <w:r>
        <w:rPr>
          <w:rFonts w:hint="eastAsia" w:ascii="仿宋_GB2312" w:eastAsia="仿宋_GB2312"/>
          <w:strike w:val="0"/>
          <w:dstrike w:val="0"/>
          <w:sz w:val="32"/>
          <w:szCs w:val="32"/>
          <w:lang w:eastAsia="zh-CN"/>
        </w:rPr>
        <w:t>，</w:t>
      </w:r>
      <w:r>
        <w:rPr>
          <w:rFonts w:hint="eastAsia" w:ascii="仿宋_GB2312" w:eastAsia="仿宋_GB2312"/>
          <w:color w:val="auto"/>
          <w:sz w:val="32"/>
          <w:szCs w:val="32"/>
          <w:highlight w:val="none"/>
        </w:rPr>
        <w:t>报考区属事业单位笔试卷面分加5分</w:t>
      </w:r>
      <w:r>
        <w:rPr>
          <w:rFonts w:hint="eastAsia" w:ascii="仿宋_GB2312" w:eastAsia="仿宋_GB2312"/>
          <w:sz w:val="32"/>
          <w:szCs w:val="32"/>
        </w:rPr>
        <w:t xml:space="preserve">。 </w:t>
      </w:r>
    </w:p>
    <w:p>
      <w:pPr>
        <w:pageBreakBefore w:val="0"/>
        <w:shd w:val="clear"/>
        <w:kinsoku/>
        <w:wordWrap/>
        <w:overflowPunct/>
        <w:topLinePunct w:val="0"/>
        <w:autoSpaceDE/>
        <w:autoSpaceDN/>
        <w:bidi w:val="0"/>
        <w:spacing w:line="57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当年服务行将期满考核合格和服务期满考核合格的“乡村振兴计划”大学生志愿者，报考市属事业单位笔试卷面分加3分，报考区属事业单位笔试卷面分加5分。</w:t>
      </w:r>
    </w:p>
    <w:p>
      <w:pPr>
        <w:pStyle w:val="4"/>
        <w:pageBreakBefore w:val="0"/>
        <w:kinsoku/>
        <w:wordWrap/>
        <w:overflowPunct/>
        <w:topLinePunct w:val="0"/>
        <w:autoSpaceDE/>
        <w:autoSpaceDN/>
        <w:bidi w:val="0"/>
        <w:spacing w:line="570" w:lineRule="exact"/>
        <w:textAlignment w:val="auto"/>
      </w:pPr>
      <w:bookmarkStart w:id="118" w:name="_Toc24980"/>
      <w:bookmarkStart w:id="119" w:name="_Toc5696"/>
      <w:bookmarkStart w:id="120" w:name="_Toc1747"/>
      <w:bookmarkStart w:id="121" w:name="_Toc22049"/>
      <w:bookmarkStart w:id="122" w:name="_Toc102806552"/>
      <w:bookmarkStart w:id="123" w:name="_Toc23253"/>
      <w:bookmarkStart w:id="124" w:name="_Toc3463"/>
      <w:bookmarkStart w:id="125" w:name="_Toc12368"/>
      <w:bookmarkStart w:id="126" w:name="_Toc19444"/>
      <w:r>
        <w:rPr>
          <w:rFonts w:hint="eastAsia"/>
        </w:rPr>
        <w:t>2.退役士兵（含大学生退役士兵）</w:t>
      </w:r>
      <w:bookmarkEnd w:id="118"/>
      <w:bookmarkEnd w:id="119"/>
      <w:bookmarkEnd w:id="120"/>
      <w:bookmarkEnd w:id="121"/>
      <w:bookmarkEnd w:id="122"/>
      <w:bookmarkEnd w:id="123"/>
      <w:bookmarkEnd w:id="124"/>
      <w:bookmarkEnd w:id="125"/>
      <w:bookmarkEnd w:id="126"/>
    </w:p>
    <w:p>
      <w:pPr>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w:t>
      </w:r>
      <w:r>
        <w:rPr>
          <w:rFonts w:hint="eastAsia" w:ascii="仿宋_GB2312" w:eastAsia="仿宋_GB2312"/>
          <w:sz w:val="32"/>
          <w:szCs w:val="32"/>
          <w:highlight w:val="none"/>
        </w:rPr>
        <w:t>全日制普通教育大专以上学历学生在校期间应征入伍且退役后继续完成学业的，毕业后加5分；全日制普通教育大专以上学历毕业生应征入伍的，退役后加5分。</w:t>
      </w:r>
    </w:p>
    <w:p>
      <w:pPr>
        <w:pStyle w:val="4"/>
        <w:pageBreakBefore w:val="0"/>
        <w:kinsoku/>
        <w:wordWrap/>
        <w:overflowPunct/>
        <w:topLinePunct w:val="0"/>
        <w:autoSpaceDE/>
        <w:autoSpaceDN/>
        <w:bidi w:val="0"/>
        <w:spacing w:line="570" w:lineRule="exact"/>
        <w:textAlignment w:val="auto"/>
      </w:pPr>
      <w:bookmarkStart w:id="127" w:name="_Toc102806553"/>
      <w:bookmarkStart w:id="128" w:name="_Toc31915"/>
      <w:bookmarkStart w:id="129" w:name="_Toc21973"/>
      <w:bookmarkStart w:id="130" w:name="_Toc26987"/>
      <w:bookmarkStart w:id="131" w:name="_Toc15434"/>
      <w:bookmarkStart w:id="132" w:name="_Toc5502"/>
      <w:bookmarkStart w:id="133" w:name="_Toc5084"/>
      <w:r>
        <w:rPr>
          <w:rFonts w:hint="eastAsia"/>
        </w:rPr>
        <w:t>3.退役优秀运动员</w:t>
      </w:r>
      <w:bookmarkEnd w:id="127"/>
      <w:bookmarkEnd w:id="128"/>
      <w:bookmarkEnd w:id="129"/>
      <w:bookmarkEnd w:id="130"/>
      <w:bookmarkEnd w:id="131"/>
      <w:bookmarkEnd w:id="132"/>
      <w:bookmarkEnd w:id="133"/>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bookmarkStart w:id="134" w:name="_Toc22910"/>
      <w:bookmarkStart w:id="135" w:name="_Toc30306"/>
      <w:bookmarkStart w:id="136" w:name="_Toc102806554"/>
      <w:r>
        <w:rPr>
          <w:rFonts w:hint="eastAsia" w:ascii="仿宋_GB2312" w:eastAsia="仿宋_GB2312"/>
          <w:sz w:val="32"/>
          <w:szCs w:val="32"/>
        </w:rPr>
        <w:t>厦门市退役优秀运动员，可享受以下笔试卷面分加分:曾获得世界体育三大比赛（奥运会、世锦赛、世界杯）第2-6名，亚洲体育三大比赛（亚运会、亚锦赛、亚洲杯）或全运会第2、3名，全国锦标赛、全国冠军赛或篮球、排球、足球全国职业联赛第1名的运动员，加9分；获得省运动会冠军，全国锦标赛、冠军赛或篮球、排球、足球全国职业联赛第2、3名，亚洲体育三大比赛（亚运会、亚锦赛、亚洲杯）第4至第6名的运动员，加7分。</w:t>
      </w:r>
    </w:p>
    <w:p>
      <w:pPr>
        <w:pStyle w:val="3"/>
        <w:pageBreakBefore w:val="0"/>
        <w:kinsoku/>
        <w:wordWrap/>
        <w:overflowPunct/>
        <w:topLinePunct w:val="0"/>
        <w:autoSpaceDE/>
        <w:autoSpaceDN/>
        <w:bidi w:val="0"/>
        <w:spacing w:line="570" w:lineRule="exact"/>
        <w:textAlignment w:val="auto"/>
      </w:pPr>
      <w:bookmarkStart w:id="137" w:name="_Toc867"/>
      <w:bookmarkStart w:id="138" w:name="_Toc10800"/>
      <w:r>
        <w:rPr>
          <w:rFonts w:hint="eastAsia"/>
        </w:rPr>
        <w:t>（三）加分证明材料</w:t>
      </w:r>
      <w:bookmarkEnd w:id="134"/>
      <w:bookmarkEnd w:id="135"/>
      <w:bookmarkEnd w:id="136"/>
      <w:bookmarkEnd w:id="137"/>
      <w:bookmarkEnd w:id="138"/>
    </w:p>
    <w:p>
      <w:pPr>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符合加分政策的报考人员须在网上报名时如实填报，并于</w:t>
      </w:r>
      <w:r>
        <w:rPr>
          <w:rFonts w:hint="eastAsia" w:ascii="仿宋_GB2312" w:eastAsia="仿宋_GB2312"/>
          <w:sz w:val="32"/>
          <w:szCs w:val="32"/>
          <w:lang w:eastAsia="zh-CN"/>
        </w:rPr>
        <w:t>报名期间</w:t>
      </w:r>
      <w:r>
        <w:rPr>
          <w:rFonts w:hint="eastAsia" w:ascii="仿宋_GB2312" w:eastAsia="仿宋_GB2312"/>
          <w:sz w:val="32"/>
          <w:szCs w:val="32"/>
        </w:rPr>
        <w:t>主动向招聘单位沟通提交以下加分证明材料（提交方式请与招聘单位联系人联系），否则视为放弃享受加分政策：</w:t>
      </w:r>
    </w:p>
    <w:p>
      <w:pPr>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1.服务基层项目毕业生须提交组织实施相应项目的机构出具的服务基层期满考核合格证书（或服务期满考核合格材料），以及福建户籍或福建生源证明材料。</w:t>
      </w:r>
    </w:p>
    <w:p>
      <w:pPr>
        <w:pageBreakBefore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3.符合加分政策的我市退役优秀运动员可持相应奖项证书前往厦门市体育局人事处开具证明材料(联系电话</w:t>
      </w:r>
      <w:r>
        <w:rPr>
          <w:rFonts w:hint="eastAsia" w:ascii="仿宋_GB2312" w:eastAsia="仿宋_GB2312"/>
          <w:color w:val="auto"/>
          <w:sz w:val="32"/>
          <w:szCs w:val="32"/>
        </w:rPr>
        <w:t>0592-533932</w:t>
      </w:r>
      <w:r>
        <w:rPr>
          <w:rFonts w:hint="eastAsia" w:ascii="仿宋_GB2312" w:eastAsia="仿宋_GB2312"/>
          <w:color w:val="auto"/>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sz w:val="32"/>
          <w:szCs w:val="32"/>
        </w:rPr>
        <w:t>。</w:t>
      </w:r>
    </w:p>
    <w:p>
      <w:pPr>
        <w:pStyle w:val="2"/>
        <w:pageBreakBefore w:val="0"/>
        <w:kinsoku/>
        <w:wordWrap/>
        <w:overflowPunct/>
        <w:topLinePunct w:val="0"/>
        <w:autoSpaceDE/>
        <w:autoSpaceDN/>
        <w:bidi w:val="0"/>
        <w:spacing w:line="570" w:lineRule="exact"/>
        <w:textAlignment w:val="auto"/>
      </w:pPr>
      <w:bookmarkStart w:id="139" w:name="_Toc102806555"/>
      <w:bookmarkStart w:id="140" w:name="_Toc20671"/>
      <w:bookmarkStart w:id="141" w:name="_Toc20414"/>
      <w:r>
        <w:rPr>
          <w:rFonts w:hint="eastAsia"/>
        </w:rPr>
        <w:t>十一、综合总分计算</w:t>
      </w:r>
      <w:bookmarkEnd w:id="139"/>
      <w:bookmarkEnd w:id="140"/>
      <w:bookmarkEnd w:id="141"/>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综合总分合格线为60分，其中：</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（一）免笔试参加面试的：综合总分=面试成绩。</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（二）有笔试和面试的：综合总分=笔试成绩×60%+面试成绩×40%。</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对于综合总分相同者，按以下顺序进一步确定名次排列：</w:t>
      </w:r>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bookmarkStart w:id="142" w:name="_Toc102806556"/>
      <w:r>
        <w:rPr>
          <w:rFonts w:hint="eastAsia" w:ascii="仿宋_GB2312" w:eastAsia="仿宋_GB2312"/>
          <w:sz w:val="32"/>
          <w:szCs w:val="32"/>
        </w:rPr>
        <w:t>（一）按笔试成绩从高到低排列；</w:t>
      </w:r>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）若面试成绩依然相同，符合国家、福建省或厦门市文件规定优先对象的，优先进入体检环节。若无优先对象，由面试组织部门重新组织面试，按成绩从高到低确定体检人选。</w:t>
      </w:r>
    </w:p>
    <w:p>
      <w:pPr>
        <w:pStyle w:val="2"/>
        <w:pageBreakBefore w:val="0"/>
        <w:kinsoku/>
        <w:wordWrap/>
        <w:overflowPunct/>
        <w:topLinePunct w:val="0"/>
        <w:autoSpaceDE/>
        <w:autoSpaceDN/>
        <w:bidi w:val="0"/>
        <w:spacing w:line="570" w:lineRule="exact"/>
        <w:textAlignment w:val="auto"/>
      </w:pPr>
      <w:bookmarkStart w:id="143" w:name="_Toc21970"/>
      <w:bookmarkStart w:id="144" w:name="_Toc19816"/>
      <w:r>
        <w:rPr>
          <w:rFonts w:hint="eastAsia"/>
        </w:rPr>
        <w:t>十二、体检和考察</w:t>
      </w:r>
      <w:bookmarkEnd w:id="142"/>
      <w:bookmarkEnd w:id="143"/>
      <w:bookmarkEnd w:id="144"/>
    </w:p>
    <w:p>
      <w:pPr>
        <w:pStyle w:val="3"/>
        <w:pageBreakBefore w:val="0"/>
        <w:kinsoku/>
        <w:wordWrap/>
        <w:overflowPunct/>
        <w:topLinePunct w:val="0"/>
        <w:autoSpaceDE/>
        <w:autoSpaceDN/>
        <w:bidi w:val="0"/>
        <w:spacing w:line="570" w:lineRule="exact"/>
        <w:textAlignment w:val="auto"/>
      </w:pPr>
      <w:bookmarkStart w:id="145" w:name="_Toc102806557"/>
      <w:bookmarkStart w:id="146" w:name="_Toc597"/>
      <w:bookmarkStart w:id="147" w:name="_Toc20893"/>
      <w:r>
        <w:rPr>
          <w:rFonts w:hint="eastAsia"/>
        </w:rPr>
        <w:t>（一）确定体检人选</w:t>
      </w:r>
      <w:bookmarkEnd w:id="145"/>
      <w:bookmarkEnd w:id="146"/>
      <w:bookmarkEnd w:id="147"/>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从笔试、面试成绩和综合总分均合格者中</w:t>
      </w:r>
      <w:r>
        <w:rPr>
          <w:rFonts w:hint="eastAsia" w:ascii="仿宋_GB2312" w:hAnsi="仿宋_GB2312" w:eastAsia="仿宋_GB2312" w:cs="仿宋_GB2312"/>
          <w:sz w:val="32"/>
          <w:szCs w:val="32"/>
        </w:rPr>
        <w:t>，根据综合总分排名顺序，按岗位拟招聘人数1:1的比例从高分至低分确定体检人选。</w:t>
      </w:r>
    </w:p>
    <w:p>
      <w:pPr>
        <w:pageBreakBefore w:val="0"/>
        <w:shd w:val="clear"/>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pPr>
        <w:pStyle w:val="3"/>
        <w:pageBreakBefore w:val="0"/>
        <w:kinsoku/>
        <w:wordWrap/>
        <w:overflowPunct/>
        <w:topLinePunct w:val="0"/>
        <w:autoSpaceDE/>
        <w:autoSpaceDN/>
        <w:bidi w:val="0"/>
        <w:spacing w:line="570" w:lineRule="exact"/>
        <w:textAlignment w:val="auto"/>
      </w:pPr>
      <w:bookmarkStart w:id="148" w:name="_Toc102806558"/>
      <w:bookmarkStart w:id="149" w:name="_Toc11"/>
      <w:bookmarkStart w:id="150" w:name="_Toc13525"/>
      <w:r>
        <w:rPr>
          <w:rFonts w:hint="eastAsia"/>
        </w:rPr>
        <w:t>（二）组织体检</w:t>
      </w:r>
      <w:bookmarkEnd w:id="148"/>
      <w:bookmarkEnd w:id="149"/>
      <w:bookmarkEnd w:id="150"/>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color w:val="FF0000"/>
          <w:sz w:val="32"/>
          <w:szCs w:val="32"/>
          <w:highlight w:val="cyan"/>
        </w:rPr>
      </w:pPr>
      <w:r>
        <w:rPr>
          <w:rFonts w:hint="eastAsia" w:ascii="仿宋_GB2312" w:hAnsi="仿宋_GB2312" w:eastAsia="仿宋_GB2312" w:cs="仿宋_GB2312"/>
          <w:color w:val="auto"/>
          <w:sz w:val="32"/>
          <w:szCs w:val="32"/>
          <w:highlight w:val="none"/>
        </w:rPr>
        <w:t>体检由</w:t>
      </w:r>
      <w:r>
        <w:rPr>
          <w:rFonts w:hint="eastAsia" w:ascii="仿宋_GB2312" w:hAnsi="仿宋_GB2312" w:eastAsia="仿宋_GB2312" w:cs="仿宋_GB2312"/>
          <w:color w:val="auto"/>
          <w:sz w:val="32"/>
          <w:szCs w:val="32"/>
          <w:highlight w:val="none"/>
          <w:lang w:eastAsia="zh-CN"/>
        </w:rPr>
        <w:t>区人社局</w:t>
      </w:r>
      <w:r>
        <w:rPr>
          <w:rFonts w:hint="eastAsia"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体检人员应根据通知按时参加并配合体检，否则，视为放弃资格。</w:t>
      </w:r>
    </w:p>
    <w:p>
      <w:pPr>
        <w:pStyle w:val="3"/>
        <w:pageBreakBefore w:val="0"/>
        <w:kinsoku/>
        <w:wordWrap/>
        <w:overflowPunct/>
        <w:topLinePunct w:val="0"/>
        <w:autoSpaceDE/>
        <w:autoSpaceDN/>
        <w:bidi w:val="0"/>
        <w:spacing w:line="570" w:lineRule="exact"/>
        <w:textAlignment w:val="auto"/>
      </w:pPr>
      <w:bookmarkStart w:id="151" w:name="_Toc102806559"/>
      <w:bookmarkStart w:id="152" w:name="_Toc6618"/>
      <w:bookmarkStart w:id="153" w:name="_Toc17752"/>
      <w:r>
        <w:rPr>
          <w:rFonts w:hint="eastAsia"/>
        </w:rPr>
        <w:t>（三）体检依据</w:t>
      </w:r>
      <w:bookmarkEnd w:id="151"/>
      <w:bookmarkEnd w:id="152"/>
      <w:bookmarkEnd w:id="153"/>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体检医院由区人社局根据要求指定。具体检测方法由体检医院结合实际确定，体检结论以体检医院出具的体检报告为准。</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从事放射岗位人员还需根据《放射工作人员职业健康监护技术规范》（卫通[2011]2号）完成岗前必检项目的体检。</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体（复）检费用个人自理。凡在体检中弄虚作假或隐瞒真实情况的报考者，不予聘用或取消聘用。</w:t>
      </w:r>
    </w:p>
    <w:p>
      <w:pPr>
        <w:pStyle w:val="3"/>
        <w:pageBreakBefore w:val="0"/>
        <w:kinsoku/>
        <w:wordWrap/>
        <w:overflowPunct/>
        <w:topLinePunct w:val="0"/>
        <w:autoSpaceDE/>
        <w:autoSpaceDN/>
        <w:bidi w:val="0"/>
        <w:spacing w:line="570" w:lineRule="exact"/>
        <w:textAlignment w:val="auto"/>
      </w:pPr>
      <w:bookmarkStart w:id="154" w:name="_Toc32136"/>
      <w:bookmarkStart w:id="155" w:name="_Toc102806560"/>
      <w:bookmarkStart w:id="156" w:name="_Toc2107"/>
      <w:r>
        <w:rPr>
          <w:rFonts w:hint="eastAsia"/>
        </w:rPr>
        <w:t>（四）体检复检</w:t>
      </w:r>
      <w:bookmarkEnd w:id="154"/>
      <w:bookmarkEnd w:id="155"/>
      <w:bookmarkEnd w:id="156"/>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复检参照人力资源社会保障部、卫生部、国家公务员《关于进一步做好公务员考试录用体检工作的通知》(人社部发〔2012〕65号)的有关规定执行，其中：</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1.对心率、视力、听力、血压等项目达不到体检合格标准的，安排</w:t>
      </w:r>
      <w:r>
        <w:rPr>
          <w:rFonts w:hint="eastAsia" w:ascii="仿宋_GB2312" w:eastAsia="仿宋_GB2312"/>
          <w:b/>
          <w:bCs/>
          <w:sz w:val="32"/>
          <w:szCs w:val="32"/>
        </w:rPr>
        <w:t>当日复检</w:t>
      </w:r>
      <w:r>
        <w:rPr>
          <w:rFonts w:hint="eastAsia" w:ascii="仿宋_GB2312" w:eastAsia="仿宋_GB2312"/>
          <w:sz w:val="32"/>
          <w:szCs w:val="32"/>
        </w:rPr>
        <w:t>；对边缘性心脏杂音、病理性心电图、病理性杂音、频发早搏（心电图证实）等项目达不到体检合格标准的，安排</w:t>
      </w:r>
      <w:r>
        <w:rPr>
          <w:rFonts w:hint="eastAsia" w:ascii="仿宋_GB2312" w:eastAsia="仿宋_GB2312"/>
          <w:b/>
          <w:bCs/>
          <w:sz w:val="32"/>
          <w:szCs w:val="32"/>
        </w:rPr>
        <w:t>当场复检</w:t>
      </w:r>
      <w:r>
        <w:rPr>
          <w:rFonts w:hint="eastAsia" w:ascii="仿宋_GB2312" w:eastAsia="仿宋_GB2312"/>
          <w:sz w:val="32"/>
          <w:szCs w:val="32"/>
        </w:rPr>
        <w:t>。</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2.考生</w:t>
      </w:r>
      <w:r>
        <w:rPr>
          <w:rFonts w:hint="eastAsia" w:ascii="仿宋_GB2312" w:eastAsia="仿宋_GB2312"/>
          <w:b/>
          <w:bCs/>
          <w:sz w:val="32"/>
          <w:szCs w:val="32"/>
        </w:rPr>
        <w:t>对非当日或非当场复检的体检项目结果有疑问时</w:t>
      </w:r>
      <w:r>
        <w:rPr>
          <w:rFonts w:hint="eastAsia" w:ascii="仿宋_GB2312" w:eastAsia="仿宋_GB2312"/>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3.组织体检单位对体检结论有疑问的，在接到体检结论通知之日起7日内决定是否进行复检</w:t>
      </w:r>
      <w:r>
        <w:rPr>
          <w:rFonts w:hint="eastAsia" w:ascii="仿宋_GB2312" w:hAnsi="仿宋_GB2312" w:eastAsia="仿宋_GB2312" w:cs="仿宋_GB2312"/>
          <w:sz w:val="32"/>
          <w:szCs w:val="32"/>
        </w:rPr>
        <w:t>。</w:t>
      </w:r>
    </w:p>
    <w:p>
      <w:pPr>
        <w:pStyle w:val="3"/>
        <w:pageBreakBefore w:val="0"/>
        <w:kinsoku/>
        <w:wordWrap/>
        <w:overflowPunct/>
        <w:topLinePunct w:val="0"/>
        <w:autoSpaceDE/>
        <w:autoSpaceDN/>
        <w:bidi w:val="0"/>
        <w:spacing w:line="570" w:lineRule="exact"/>
        <w:textAlignment w:val="auto"/>
      </w:pPr>
      <w:bookmarkStart w:id="157" w:name="_Toc16734"/>
      <w:bookmarkStart w:id="158" w:name="_Toc102806561"/>
      <w:bookmarkStart w:id="159" w:name="_Toc14719"/>
      <w:r>
        <w:rPr>
          <w:rFonts w:hint="eastAsia"/>
        </w:rPr>
        <w:t>（五）可延迟体检的情形</w:t>
      </w:r>
      <w:bookmarkEnd w:id="157"/>
      <w:bookmarkEnd w:id="158"/>
      <w:bookmarkEnd w:id="159"/>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bookmarkStart w:id="160" w:name="_Toc102806562"/>
      <w:bookmarkStart w:id="161" w:name="_Toc25259"/>
      <w:r>
        <w:rPr>
          <w:rFonts w:hint="eastAsia" w:ascii="仿宋_GB2312" w:eastAsia="仿宋_GB2312"/>
          <w:sz w:val="32"/>
          <w:szCs w:val="32"/>
        </w:rPr>
        <w:t>女性报考者因怀孕</w:t>
      </w:r>
      <w:r>
        <w:rPr>
          <w:rFonts w:hint="eastAsia" w:ascii="仿宋_GB2312" w:eastAsia="仿宋_GB2312"/>
          <w:sz w:val="32"/>
          <w:szCs w:val="32"/>
          <w:lang w:eastAsia="zh-CN"/>
        </w:rPr>
        <w:t>不能进入体检的，招聘单位及其主管部门应对其延期体检，并于报考者约定延缓体检的最长期限。</w:t>
      </w:r>
    </w:p>
    <w:p>
      <w:pPr>
        <w:pStyle w:val="3"/>
        <w:pageBreakBefore w:val="0"/>
        <w:kinsoku/>
        <w:wordWrap/>
        <w:overflowPunct/>
        <w:topLinePunct w:val="0"/>
        <w:autoSpaceDE/>
        <w:autoSpaceDN/>
        <w:bidi w:val="0"/>
        <w:spacing w:line="570" w:lineRule="exact"/>
        <w:textAlignment w:val="auto"/>
      </w:pPr>
      <w:bookmarkStart w:id="162" w:name="_Toc29278"/>
      <w:r>
        <w:rPr>
          <w:rFonts w:hint="eastAsia"/>
        </w:rPr>
        <w:t>（六）考察</w:t>
      </w:r>
      <w:bookmarkEnd w:id="160"/>
      <w:bookmarkEnd w:id="161"/>
      <w:bookmarkEnd w:id="162"/>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考察工作前，通过中国执行信息公开网（http://zxgk.court.gov.cn/）核实考察对象有无失信被执行的情况。被依法列为失信联合惩戒对象的，不得报考或取消报考（聘用）资格。</w:t>
      </w:r>
    </w:p>
    <w:p>
      <w:pPr>
        <w:pStyle w:val="2"/>
        <w:pageBreakBefore w:val="0"/>
        <w:kinsoku/>
        <w:wordWrap/>
        <w:overflowPunct/>
        <w:topLinePunct w:val="0"/>
        <w:autoSpaceDE/>
        <w:autoSpaceDN/>
        <w:bidi w:val="0"/>
        <w:spacing w:line="570" w:lineRule="exact"/>
        <w:textAlignment w:val="auto"/>
      </w:pPr>
      <w:bookmarkStart w:id="163" w:name="_Toc19457"/>
      <w:bookmarkStart w:id="164" w:name="_Toc102806563"/>
      <w:bookmarkStart w:id="165" w:name="_Toc29292"/>
      <w:r>
        <w:rPr>
          <w:rFonts w:hint="eastAsia"/>
        </w:rPr>
        <w:t>十三、公示</w:t>
      </w:r>
      <w:bookmarkEnd w:id="163"/>
      <w:bookmarkEnd w:id="164"/>
      <w:bookmarkEnd w:id="165"/>
    </w:p>
    <w:p>
      <w:pPr>
        <w:pageBreakBefore w:val="0"/>
        <w:kinsoku/>
        <w:wordWrap/>
        <w:overflowPunct/>
        <w:topLinePunct w:val="0"/>
        <w:autoSpaceDE/>
        <w:autoSpaceDN/>
        <w:bidi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根据岗位要求以及考试、体检、考察结果，确定拟聘用人员名单，并在</w:t>
      </w:r>
      <w:r>
        <w:rPr>
          <w:rFonts w:hint="eastAsia" w:ascii="仿宋_GB2312" w:hAnsi="仿宋_GB2312" w:eastAsia="仿宋_GB2312" w:cs="仿宋_GB2312"/>
          <w:color w:val="auto"/>
          <w:sz w:val="32"/>
          <w:szCs w:val="32"/>
          <w:lang w:eastAsia="zh-CN"/>
        </w:rPr>
        <w:t>“网上考务信息通知”（</w:t>
      </w:r>
      <w:r>
        <w:rPr>
          <w:rFonts w:hint="eastAsia" w:ascii="仿宋_GB2312" w:hAnsi="仿宋_GB2312" w:eastAsia="仿宋_GB2312" w:cs="仿宋_GB2312"/>
          <w:color w:val="auto"/>
          <w:sz w:val="32"/>
          <w:szCs w:val="32"/>
          <w:lang w:val="en-US"/>
        </w:rPr>
        <w:t>http://www.xmta.gov.cn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公示7个</w:t>
      </w:r>
      <w:r>
        <w:rPr>
          <w:rFonts w:hint="eastAsia" w:ascii="仿宋_GB2312" w:hAnsi="仿宋_GB2312" w:eastAsia="仿宋_GB2312" w:cs="仿宋_GB2312"/>
          <w:sz w:val="32"/>
          <w:szCs w:val="32"/>
        </w:rPr>
        <w:t>工作日。公示内容包括招聘单位名称、招聘岗位、拟聘人员基本信息等。</w:t>
      </w:r>
    </w:p>
    <w:p>
      <w:pPr>
        <w:pageBreakBefore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auto"/>
          <w:sz w:val="32"/>
          <w:szCs w:val="32"/>
          <w:highlight w:val="cyan"/>
        </w:rPr>
      </w:pPr>
      <w:r>
        <w:rPr>
          <w:rFonts w:hint="eastAsia" w:ascii="仿宋_GB2312" w:eastAsia="仿宋_GB2312"/>
          <w:color w:val="auto"/>
          <w:sz w:val="32"/>
          <w:szCs w:val="32"/>
          <w:highlight w:val="none"/>
        </w:rPr>
        <w:t>对未取得有关证书的人员（如2024届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毕业生、服务基层项目高校毕业生等）可先予以公示，在规定时限内</w:t>
      </w:r>
      <w:r>
        <w:rPr>
          <w:rFonts w:hint="eastAsia" w:ascii="仿宋_GB2312" w:eastAsia="仿宋_GB2312"/>
          <w:color w:val="auto"/>
          <w:sz w:val="32"/>
          <w:szCs w:val="32"/>
          <w:highlight w:val="none"/>
          <w:lang w:eastAsia="zh-CN"/>
        </w:rPr>
        <w:t>（详见《报考须知》）提供</w:t>
      </w:r>
      <w:r>
        <w:rPr>
          <w:rFonts w:hint="eastAsia" w:ascii="仿宋_GB2312" w:eastAsia="仿宋_GB2312"/>
          <w:color w:val="auto"/>
          <w:sz w:val="32"/>
          <w:szCs w:val="32"/>
          <w:highlight w:val="none"/>
        </w:rPr>
        <w:t>相应证书后，再办理</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用手续。</w:t>
      </w:r>
    </w:p>
    <w:p>
      <w:pPr>
        <w:pStyle w:val="2"/>
        <w:pageBreakBefore w:val="0"/>
        <w:kinsoku/>
        <w:wordWrap/>
        <w:overflowPunct/>
        <w:topLinePunct w:val="0"/>
        <w:autoSpaceDE/>
        <w:autoSpaceDN/>
        <w:bidi w:val="0"/>
        <w:spacing w:line="570" w:lineRule="exact"/>
        <w:textAlignment w:val="auto"/>
      </w:pPr>
      <w:bookmarkStart w:id="166" w:name="_Toc11578"/>
      <w:bookmarkStart w:id="167" w:name="_Toc102806564"/>
      <w:bookmarkStart w:id="168" w:name="_Toc49"/>
      <w:r>
        <w:rPr>
          <w:rFonts w:hint="eastAsia"/>
        </w:rPr>
        <w:t>十四、聘用办理</w:t>
      </w:r>
      <w:bookmarkEnd w:id="166"/>
      <w:bookmarkEnd w:id="167"/>
      <w:bookmarkEnd w:id="168"/>
    </w:p>
    <w:p>
      <w:pPr>
        <w:pStyle w:val="3"/>
        <w:pageBreakBefore w:val="0"/>
        <w:kinsoku/>
        <w:wordWrap/>
        <w:overflowPunct/>
        <w:topLinePunct w:val="0"/>
        <w:autoSpaceDE/>
        <w:autoSpaceDN/>
        <w:bidi w:val="0"/>
        <w:spacing w:line="570" w:lineRule="exact"/>
        <w:textAlignment w:val="auto"/>
      </w:pPr>
      <w:bookmarkStart w:id="169" w:name="_Toc25361"/>
      <w:bookmarkStart w:id="170" w:name="_Toc3099"/>
      <w:bookmarkStart w:id="171" w:name="_Toc102806565"/>
      <w:bookmarkStart w:id="172" w:name="_Toc17219"/>
      <w:r>
        <w:rPr>
          <w:rFonts w:hint="eastAsia"/>
        </w:rPr>
        <w:t>（一）聘用手续办理</w:t>
      </w:r>
      <w:bookmarkEnd w:id="169"/>
      <w:bookmarkEnd w:id="170"/>
      <w:bookmarkEnd w:id="171"/>
      <w:bookmarkEnd w:id="172"/>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公示结果无异议，或经招聘单位会同主管部门核实不影响聘用</w:t>
      </w:r>
      <w:r>
        <w:rPr>
          <w:rFonts w:hint="eastAsia" w:ascii="仿宋_GB2312" w:eastAsia="仿宋_GB2312"/>
          <w:b w:val="0"/>
          <w:bCs w:val="0"/>
          <w:sz w:val="32"/>
          <w:szCs w:val="32"/>
        </w:rPr>
        <w:t>的，拟聘人员应于公示期满后3个月内提供办理聘用手续所需的材料（含个人人事档案），</w:t>
      </w:r>
      <w:r>
        <w:rPr>
          <w:rFonts w:hint="eastAsia" w:ascii="仿宋_GB2312" w:eastAsia="仿宋_GB2312"/>
          <w:sz w:val="32"/>
          <w:szCs w:val="32"/>
        </w:rPr>
        <w:t>因情况确实特殊、无法在上述期限内提供完备资料的，与招聘单位及其主管部门协商同意并书面承诺后可适当延长材料提交时限（延长时限原则上不超过2个月），否则视为放弃聘用资格。</w:t>
      </w:r>
    </w:p>
    <w:p>
      <w:pPr>
        <w:pStyle w:val="3"/>
        <w:pageBreakBefore w:val="0"/>
        <w:kinsoku/>
        <w:wordWrap/>
        <w:overflowPunct/>
        <w:topLinePunct w:val="0"/>
        <w:autoSpaceDE/>
        <w:autoSpaceDN/>
        <w:bidi w:val="0"/>
        <w:spacing w:line="570" w:lineRule="exact"/>
        <w:textAlignment w:val="auto"/>
      </w:pPr>
      <w:bookmarkStart w:id="173" w:name="_Toc102806566"/>
      <w:bookmarkStart w:id="174" w:name="_Toc24954"/>
      <w:bookmarkStart w:id="175" w:name="_Toc9234"/>
      <w:bookmarkStart w:id="176" w:name="_Toc12892"/>
      <w:r>
        <w:rPr>
          <w:rFonts w:hint="eastAsia"/>
        </w:rPr>
        <w:t>（二）岗位聘任</w:t>
      </w:r>
      <w:bookmarkEnd w:id="173"/>
      <w:bookmarkEnd w:id="174"/>
      <w:bookmarkEnd w:id="175"/>
      <w:bookmarkEnd w:id="176"/>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w:t>
      </w:r>
    </w:p>
    <w:p>
      <w:pPr>
        <w:pageBreakBefore w:val="0"/>
        <w:shd w:val="clear"/>
        <w:kinsoku/>
        <w:wordWrap/>
        <w:overflowPunct/>
        <w:topLinePunct w:val="0"/>
        <w:autoSpaceDE/>
        <w:autoSpaceDN/>
        <w:bidi w:val="0"/>
        <w:spacing w:line="57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pPr>
        <w:pStyle w:val="2"/>
        <w:pageBreakBefore w:val="0"/>
        <w:kinsoku/>
        <w:wordWrap/>
        <w:overflowPunct/>
        <w:topLinePunct w:val="0"/>
        <w:autoSpaceDE/>
        <w:autoSpaceDN/>
        <w:bidi w:val="0"/>
        <w:spacing w:line="570" w:lineRule="exact"/>
        <w:textAlignment w:val="auto"/>
      </w:pPr>
      <w:bookmarkStart w:id="177" w:name="_Toc16675"/>
      <w:bookmarkStart w:id="178" w:name="_Toc102806567"/>
      <w:bookmarkStart w:id="179" w:name="_Toc981"/>
      <w:r>
        <w:rPr>
          <w:rFonts w:hint="eastAsia"/>
        </w:rPr>
        <w:t>十五、其他需说明事项</w:t>
      </w:r>
      <w:bookmarkEnd w:id="177"/>
      <w:bookmarkEnd w:id="178"/>
      <w:bookmarkEnd w:id="179"/>
      <w:bookmarkStart w:id="180" w:name="_Toc102806568"/>
    </w:p>
    <w:p>
      <w:pPr>
        <w:pStyle w:val="3"/>
        <w:pageBreakBefore w:val="0"/>
        <w:numPr>
          <w:ilvl w:val="0"/>
          <w:numId w:val="2"/>
        </w:numPr>
        <w:kinsoku/>
        <w:wordWrap/>
        <w:overflowPunct/>
        <w:topLinePunct w:val="0"/>
        <w:autoSpaceDE/>
        <w:autoSpaceDN/>
        <w:bidi w:val="0"/>
        <w:spacing w:line="570" w:lineRule="exact"/>
        <w:textAlignment w:val="auto"/>
      </w:pPr>
      <w:bookmarkStart w:id="181" w:name="_Toc8557"/>
      <w:bookmarkStart w:id="182" w:name="_Toc7179"/>
      <w:bookmarkStart w:id="183" w:name="_Toc29122"/>
      <w:bookmarkStart w:id="184" w:name="_Toc23154"/>
      <w:bookmarkStart w:id="185" w:name="_Toc70495109"/>
      <w:r>
        <w:rPr>
          <w:rFonts w:hint="eastAsia"/>
        </w:rPr>
        <w:t>职称</w:t>
      </w:r>
      <w:bookmarkEnd w:id="181"/>
      <w:bookmarkEnd w:id="182"/>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岗位资格条件要求的职称是指经社会化评审、全国统一考试或考核确认等方式取得的专业技术职务任职资格，不含通过非公有制企业职称评审方式取得的职称。</w:t>
      </w:r>
    </w:p>
    <w:p>
      <w:pPr>
        <w:pageBreakBefore w:val="0"/>
        <w:kinsoku/>
        <w:wordWrap/>
        <w:overflowPunct/>
        <w:topLinePunct w:val="0"/>
        <w:autoSpaceDE/>
        <w:autoSpaceDN/>
        <w:bidi w:val="0"/>
        <w:spacing w:line="57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按照国家和省部规定自主评聘的卫生技术系列高级职称人员，须经福建省职改部门确认卫生高级专业技术职务任职资格</w:t>
      </w:r>
      <w:r>
        <w:rPr>
          <w:rFonts w:hint="eastAsia" w:ascii="仿宋_GB2312" w:hAnsi="宋体" w:eastAsia="仿宋_GB2312"/>
          <w:color w:val="auto"/>
          <w:sz w:val="32"/>
          <w:szCs w:val="32"/>
          <w:highlight w:val="none"/>
          <w:lang w:eastAsia="zh-CN"/>
        </w:rPr>
        <w:t>后</w:t>
      </w:r>
      <w:r>
        <w:rPr>
          <w:rFonts w:hint="eastAsia" w:ascii="仿宋_GB2312" w:hAnsi="宋体" w:eastAsia="仿宋_GB2312"/>
          <w:color w:val="auto"/>
          <w:sz w:val="32"/>
          <w:szCs w:val="32"/>
          <w:highlight w:val="none"/>
        </w:rPr>
        <w:t>，方能作为岗位正常聘任和岗位级别晋升的依据。</w:t>
      </w:r>
    </w:p>
    <w:p>
      <w:pPr>
        <w:pageBreakBefore w:val="0"/>
        <w:kinsoku/>
        <w:wordWrap/>
        <w:overflowPunct/>
        <w:topLinePunct w:val="0"/>
        <w:autoSpaceDE/>
        <w:autoSpaceDN/>
        <w:bidi w:val="0"/>
        <w:snapToGrid w:val="0"/>
        <w:spacing w:line="570" w:lineRule="exact"/>
        <w:ind w:firstLine="640" w:firstLineChars="200"/>
        <w:textAlignment w:val="auto"/>
        <w:rPr>
          <w:rStyle w:val="22"/>
        </w:rPr>
      </w:pPr>
      <w:r>
        <w:rPr>
          <w:rFonts w:hint="eastAsia" w:ascii="仿宋_GB2312" w:eastAsia="仿宋_GB2312"/>
          <w:sz w:val="32"/>
          <w:szCs w:val="32"/>
        </w:rPr>
        <w:t>在资格复核时，尚未取得岗位资格条件要求的职称证书的，可提供成绩单（须证明通过考试）、评审通过文件或考核确认表等有效材料。</w:t>
      </w: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4年</w:t>
      </w:r>
      <w:r>
        <w:rPr>
          <w:rFonts w:hint="eastAsia" w:ascii="仿宋_GB2312" w:hAnsi="宋体" w:eastAsia="仿宋_GB2312"/>
          <w:color w:val="auto"/>
          <w:sz w:val="32"/>
          <w:szCs w:val="32"/>
          <w:highlight w:val="none"/>
        </w:rPr>
        <w:t>毕业的医学专业“四证合一”</w:t>
      </w:r>
      <w:r>
        <w:rPr>
          <w:rFonts w:hint="eastAsia" w:ascii="仿宋_GB2312" w:hAnsi="宋体" w:eastAsia="仿宋_GB2312"/>
          <w:color w:val="auto"/>
          <w:sz w:val="32"/>
          <w:szCs w:val="32"/>
          <w:highlight w:val="none"/>
          <w:lang w:eastAsia="zh-CN"/>
        </w:rPr>
        <w:t>应届</w:t>
      </w:r>
      <w:r>
        <w:rPr>
          <w:rFonts w:hint="eastAsia" w:ascii="仿宋_GB2312" w:hAnsi="宋体" w:eastAsia="仿宋_GB2312"/>
          <w:color w:val="auto"/>
          <w:sz w:val="32"/>
          <w:szCs w:val="32"/>
          <w:highlight w:val="none"/>
        </w:rPr>
        <w:t>研究生，在符合报考岗位其他资格条件的前提下，其医师资格证书可于202</w:t>
      </w: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年12月31日前随符合岗位报考条件的相应学历（位）证书一并提供。</w:t>
      </w:r>
    </w:p>
    <w:p>
      <w:pPr>
        <w:pStyle w:val="3"/>
        <w:pageBreakBefore w:val="0"/>
        <w:kinsoku/>
        <w:wordWrap/>
        <w:overflowPunct/>
        <w:topLinePunct w:val="0"/>
        <w:autoSpaceDE/>
        <w:autoSpaceDN/>
        <w:bidi w:val="0"/>
        <w:spacing w:line="570" w:lineRule="exact"/>
        <w:textAlignment w:val="auto"/>
      </w:pPr>
      <w:bookmarkStart w:id="186" w:name="_Toc4846"/>
      <w:bookmarkStart w:id="187" w:name="_Toc12987"/>
      <w:r>
        <w:rPr>
          <w:rFonts w:hint="eastAsia"/>
        </w:rPr>
        <w:t>（二）生源</w:t>
      </w:r>
      <w:bookmarkEnd w:id="183"/>
      <w:bookmarkEnd w:id="186"/>
      <w:bookmarkEnd w:id="187"/>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生源地为参加全国统一的普通高等学校招生考试时的户籍所在地。</w:t>
      </w:r>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1.入学前户籍在厦门市但学籍不在厦门市的普通教育全日制毕业生；</w:t>
      </w:r>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2.入学前户籍和学籍虽不在厦门市，但本次公开招聘报名截止日前父母或配偶有一方户籍在厦门市的普通教育全日制2024年应届毕业生；</w:t>
      </w:r>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3.根据厦府办〔2011〕229号文规定来我市就读普通高中且将户籍迁入我市的外来学生，普通高中毕业后从我市考入普通高等院校的全日制普通教育毕业生。</w:t>
      </w:r>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福建生源类推界定。</w:t>
      </w:r>
    </w:p>
    <w:p>
      <w:pPr>
        <w:pStyle w:val="3"/>
        <w:pageBreakBefore w:val="0"/>
        <w:kinsoku/>
        <w:wordWrap/>
        <w:overflowPunct/>
        <w:topLinePunct w:val="0"/>
        <w:autoSpaceDE/>
        <w:autoSpaceDN/>
        <w:bidi w:val="0"/>
        <w:spacing w:line="570" w:lineRule="exact"/>
        <w:textAlignment w:val="auto"/>
      </w:pPr>
      <w:bookmarkStart w:id="188" w:name="_Toc21812"/>
      <w:bookmarkStart w:id="189" w:name="_Toc5827"/>
      <w:bookmarkStart w:id="190" w:name="_Toc293"/>
      <w:r>
        <w:rPr>
          <w:rFonts w:hint="eastAsia"/>
        </w:rPr>
        <w:t>（三）港澳台人员</w:t>
      </w:r>
      <w:bookmarkEnd w:id="188"/>
      <w:bookmarkEnd w:id="189"/>
      <w:bookmarkEnd w:id="190"/>
    </w:p>
    <w:p>
      <w:pPr>
        <w:pageBreakBefore w:val="0"/>
        <w:shd w:val="clear"/>
        <w:kinsoku/>
        <w:wordWrap/>
        <w:overflowPunct/>
        <w:topLinePunct w:val="0"/>
        <w:autoSpaceDE/>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港澳台人员（不得持有外国籍）的招聘，按照国家、省和我市有关规定办理。</w:t>
      </w:r>
    </w:p>
    <w:p>
      <w:pPr>
        <w:pStyle w:val="3"/>
        <w:pageBreakBefore w:val="0"/>
        <w:kinsoku/>
        <w:wordWrap/>
        <w:overflowPunct/>
        <w:topLinePunct w:val="0"/>
        <w:autoSpaceDE/>
        <w:autoSpaceDN/>
        <w:bidi w:val="0"/>
        <w:spacing w:line="570" w:lineRule="exact"/>
        <w:textAlignment w:val="auto"/>
      </w:pPr>
      <w:bookmarkStart w:id="191" w:name="_Toc5096"/>
      <w:bookmarkStart w:id="192" w:name="_Toc24040"/>
      <w:bookmarkStart w:id="193" w:name="_Toc3364"/>
      <w:r>
        <w:rPr>
          <w:rFonts w:hint="eastAsia"/>
        </w:rPr>
        <w:t>（四）技工院校毕业生</w:t>
      </w:r>
      <w:bookmarkEnd w:id="191"/>
      <w:bookmarkEnd w:id="192"/>
      <w:bookmarkEnd w:id="193"/>
    </w:p>
    <w:p>
      <w:pPr>
        <w:pageBreakBefore w:val="0"/>
        <w:shd w:val="clear"/>
        <w:kinsoku/>
        <w:wordWrap/>
        <w:overflowPunct/>
        <w:topLinePunct w:val="0"/>
        <w:autoSpaceDE/>
        <w:autoSpaceDN/>
        <w:bidi w:val="0"/>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pStyle w:val="3"/>
        <w:pageBreakBefore w:val="0"/>
        <w:kinsoku/>
        <w:wordWrap/>
        <w:overflowPunct/>
        <w:topLinePunct w:val="0"/>
        <w:autoSpaceDE/>
        <w:autoSpaceDN/>
        <w:bidi w:val="0"/>
        <w:spacing w:line="570" w:lineRule="exact"/>
        <w:textAlignment w:val="auto"/>
      </w:pPr>
      <w:bookmarkStart w:id="194" w:name="_Toc3447"/>
      <w:bookmarkStart w:id="195" w:name="_Toc14179"/>
      <w:r>
        <w:rPr>
          <w:rFonts w:hint="eastAsia"/>
        </w:rPr>
        <w:t>（五）</w:t>
      </w:r>
      <w:bookmarkEnd w:id="184"/>
      <w:bookmarkStart w:id="196" w:name="_Toc23840"/>
      <w:r>
        <w:rPr>
          <w:rFonts w:hint="eastAsia"/>
        </w:rPr>
        <w:t>规范化培训</w:t>
      </w:r>
      <w:bookmarkEnd w:id="194"/>
      <w:bookmarkEnd w:id="195"/>
      <w:bookmarkEnd w:id="196"/>
    </w:p>
    <w:p>
      <w:pPr>
        <w:pageBreakBefore w:val="0"/>
        <w:widowControl/>
        <w:shd w:val="clear"/>
        <w:kinsoku/>
        <w:wordWrap/>
        <w:overflowPunct/>
        <w:topLinePunct w:val="0"/>
        <w:autoSpaceDE/>
        <w:autoSpaceDN/>
        <w:bidi w:val="0"/>
        <w:spacing w:line="570" w:lineRule="exact"/>
        <w:ind w:firstLine="620" w:firstLineChars="200"/>
        <w:textAlignment w:val="auto"/>
      </w:pPr>
      <w:r>
        <w:rPr>
          <w:rFonts w:ascii="仿宋_GB2312" w:hAnsi="宋体" w:eastAsia="仿宋_GB2312" w:cs="仿宋_GB2312"/>
          <w:kern w:val="0"/>
          <w:sz w:val="31"/>
          <w:szCs w:val="31"/>
        </w:rPr>
        <w:t>岗位资格条件要求完成住院医师规范化培训的，是指按</w:t>
      </w:r>
      <w:r>
        <w:rPr>
          <w:rFonts w:hint="eastAsia" w:ascii="仿宋_GB2312" w:hAnsi="宋体" w:eastAsia="仿宋_GB2312" w:cs="仿宋_GB2312"/>
          <w:kern w:val="0"/>
          <w:sz w:val="31"/>
          <w:szCs w:val="31"/>
        </w:rPr>
        <w:t xml:space="preserve">照《住院医师规范化培训内容和标准（试行）》完成住院医师规范化培训内容并取得合格证书。 </w:t>
      </w:r>
    </w:p>
    <w:p>
      <w:pPr>
        <w:pageBreakBefore w:val="0"/>
        <w:widowControl/>
        <w:shd w:val="clear"/>
        <w:kinsoku/>
        <w:wordWrap/>
        <w:overflowPunct/>
        <w:topLinePunct w:val="0"/>
        <w:autoSpaceDE/>
        <w:autoSpaceDN/>
        <w:bidi w:val="0"/>
        <w:spacing w:line="570" w:lineRule="exact"/>
        <w:ind w:firstLine="620" w:firstLineChars="200"/>
        <w:textAlignment w:val="auto"/>
      </w:pPr>
      <w:r>
        <w:rPr>
          <w:rFonts w:hint="eastAsia" w:ascii="仿宋_GB2312" w:hAnsi="宋体" w:eastAsia="仿宋_GB2312" w:cs="仿宋_GB2312"/>
          <w:kern w:val="0"/>
          <w:sz w:val="31"/>
          <w:szCs w:val="31"/>
        </w:rPr>
        <w:t xml:space="preserve">报考者须于资格复核时提供岗位资格条件要求的规范化培训合格证书或通过考试成绩单。2024年毕业的医学专业“四证合一”应届研究生，在符合报考岗位其他资格条件的前提下，其住院医师规范化培训合格证书可于 2024年12月31日前提供。 </w:t>
      </w:r>
    </w:p>
    <w:p>
      <w:pPr>
        <w:pageBreakBefore w:val="0"/>
        <w:widowControl/>
        <w:shd w:val="clear"/>
        <w:kinsoku/>
        <w:wordWrap/>
        <w:overflowPunct/>
        <w:topLinePunct w:val="0"/>
        <w:autoSpaceDE/>
        <w:autoSpaceDN/>
        <w:bidi w:val="0"/>
        <w:spacing w:line="570" w:lineRule="exact"/>
        <w:ind w:firstLine="620" w:firstLineChars="200"/>
        <w:textAlignment w:val="auto"/>
        <w:rPr>
          <w:rFonts w:ascii="仿宋_GB2312" w:hAnsi="宋体" w:eastAsia="仿宋_GB2312" w:cs="仿宋_GB2312"/>
          <w:kern w:val="0"/>
          <w:sz w:val="31"/>
          <w:szCs w:val="31"/>
        </w:rPr>
      </w:pPr>
      <w:r>
        <w:rPr>
          <w:rFonts w:hint="eastAsia" w:ascii="仿宋_GB2312" w:hAnsi="宋体" w:eastAsia="仿宋_GB2312" w:cs="仿宋_GB2312"/>
          <w:kern w:val="0"/>
          <w:sz w:val="31"/>
          <w:szCs w:val="31"/>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pPr>
        <w:pStyle w:val="3"/>
        <w:pageBreakBefore w:val="0"/>
        <w:kinsoku/>
        <w:wordWrap/>
        <w:overflowPunct/>
        <w:topLinePunct w:val="0"/>
        <w:autoSpaceDE/>
        <w:autoSpaceDN/>
        <w:bidi w:val="0"/>
        <w:spacing w:line="570" w:lineRule="exact"/>
        <w:textAlignment w:val="auto"/>
      </w:pPr>
      <w:bookmarkStart w:id="197" w:name="_Toc15409"/>
      <w:bookmarkStart w:id="198" w:name="_Toc27905"/>
      <w:bookmarkStart w:id="199" w:name="_Toc29221"/>
      <w:r>
        <w:rPr>
          <w:rFonts w:hint="eastAsia"/>
        </w:rPr>
        <w:t>（六）其他</w:t>
      </w:r>
      <w:bookmarkEnd w:id="197"/>
      <w:bookmarkEnd w:id="198"/>
      <w:bookmarkEnd w:id="199"/>
    </w:p>
    <w:p>
      <w:pPr>
        <w:pageBreakBefore w:val="0"/>
        <w:widowControl/>
        <w:shd w:val="clear"/>
        <w:kinsoku/>
        <w:wordWrap/>
        <w:overflowPunct/>
        <w:topLinePunct w:val="0"/>
        <w:autoSpaceDE/>
        <w:autoSpaceDN/>
        <w:bidi w:val="0"/>
        <w:spacing w:line="570" w:lineRule="exact"/>
        <w:ind w:firstLine="62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kern w:val="0"/>
          <w:sz w:val="31"/>
          <w:szCs w:val="31"/>
        </w:rPr>
        <w:t>2024年毕业的医学专业“四证合一”应届研究生已取得《医师执业证书》但未明确执业范围且最高学历所学专业为岗位要求专业的，可以报考</w:t>
      </w:r>
      <w:r>
        <w:rPr>
          <w:rFonts w:hint="eastAsia" w:ascii="仿宋_GB2312" w:hAnsi="仿宋_GB2312" w:eastAsia="仿宋_GB2312" w:cs="仿宋_GB2312"/>
          <w:sz w:val="32"/>
          <w:szCs w:val="32"/>
        </w:rPr>
        <w:t>岗位资格条件</w:t>
      </w:r>
      <w:r>
        <w:rPr>
          <w:rFonts w:hint="eastAsia" w:ascii="仿宋_GB2312" w:hAnsi="宋体" w:eastAsia="仿宋_GB2312" w:cs="仿宋_GB2312"/>
          <w:kern w:val="0"/>
          <w:sz w:val="31"/>
          <w:szCs w:val="31"/>
        </w:rPr>
        <w:t>中有明确要求执业范围的岗位。</w:t>
      </w:r>
      <w:bookmarkEnd w:id="185"/>
    </w:p>
    <w:bookmarkEnd w:id="180"/>
    <w:p>
      <w:pPr>
        <w:pStyle w:val="2"/>
        <w:pageBreakBefore w:val="0"/>
        <w:kinsoku/>
        <w:wordWrap/>
        <w:overflowPunct/>
        <w:topLinePunct w:val="0"/>
        <w:autoSpaceDE/>
        <w:autoSpaceDN/>
        <w:bidi w:val="0"/>
        <w:spacing w:line="570" w:lineRule="exact"/>
        <w:textAlignment w:val="auto"/>
      </w:pPr>
      <w:bookmarkStart w:id="200" w:name="_Toc19505"/>
      <w:bookmarkStart w:id="201" w:name="_Toc102806573"/>
      <w:bookmarkStart w:id="202" w:name="_Toc26836"/>
      <w:r>
        <w:rPr>
          <w:rFonts w:hint="eastAsia"/>
        </w:rPr>
        <w:t>十六、网上报名操作须知</w:t>
      </w:r>
      <w:bookmarkEnd w:id="200"/>
      <w:bookmarkEnd w:id="201"/>
      <w:bookmarkEnd w:id="202"/>
    </w:p>
    <w:p>
      <w:pPr>
        <w:pageBreakBefore w:val="0"/>
        <w:widowControl/>
        <w:shd w:val="clear"/>
        <w:kinsoku/>
        <w:wordWrap/>
        <w:overflowPunct/>
        <w:topLinePunct w:val="0"/>
        <w:autoSpaceDE/>
        <w:autoSpaceDN/>
        <w:bidi w:val="0"/>
        <w:spacing w:line="570" w:lineRule="exact"/>
        <w:ind w:firstLine="620" w:firstLineChars="200"/>
        <w:jc w:val="left"/>
        <w:textAlignment w:val="auto"/>
        <w:rPr>
          <w:rFonts w:hint="default" w:ascii="仿宋_GB2312" w:hAnsi="宋体" w:eastAsia="仿宋_GB2312" w:cs="仿宋_GB2312"/>
          <w:kern w:val="0"/>
          <w:sz w:val="31"/>
          <w:szCs w:val="31"/>
          <w:lang w:val="en-US" w:eastAsia="zh-CN"/>
        </w:rPr>
      </w:pPr>
      <w:bookmarkStart w:id="203" w:name="_Toc102806574"/>
      <w:r>
        <w:rPr>
          <w:rFonts w:hint="eastAsia" w:ascii="仿宋_GB2312" w:hAnsi="宋体" w:eastAsia="仿宋_GB2312" w:cs="仿宋_GB2312"/>
          <w:kern w:val="0"/>
          <w:sz w:val="31"/>
          <w:szCs w:val="31"/>
          <w:lang w:eastAsia="zh-CN"/>
        </w:rPr>
        <w:t>考生须通过“闽政</w:t>
      </w:r>
      <w:r>
        <w:rPr>
          <w:rFonts w:hint="eastAsia" w:ascii="仿宋_GB2312" w:hAnsi="宋体" w:eastAsia="仿宋_GB2312" w:cs="仿宋_GB2312"/>
          <w:kern w:val="0"/>
          <w:sz w:val="31"/>
          <w:szCs w:val="31"/>
          <w:lang w:val="en-US" w:eastAsia="zh-CN"/>
        </w:rPr>
        <w:t>APP</w:t>
      </w:r>
      <w:r>
        <w:rPr>
          <w:rFonts w:hint="eastAsia" w:ascii="仿宋_GB2312" w:hAnsi="宋体" w:eastAsia="仿宋_GB2312" w:cs="仿宋_GB2312"/>
          <w:kern w:val="0"/>
          <w:sz w:val="31"/>
          <w:szCs w:val="31"/>
          <w:lang w:eastAsia="zh-CN"/>
        </w:rPr>
        <w:t>”</w:t>
      </w:r>
      <w:r>
        <w:rPr>
          <w:rFonts w:hint="eastAsia" w:ascii="仿宋_GB2312" w:hAnsi="宋体" w:eastAsia="仿宋_GB2312" w:cs="仿宋_GB2312"/>
          <w:kern w:val="0"/>
          <w:sz w:val="31"/>
          <w:szCs w:val="31"/>
          <w:lang w:val="en-US" w:eastAsia="zh-CN"/>
        </w:rPr>
        <w:t>L4级身份认证，方可报名。</w:t>
      </w:r>
    </w:p>
    <w:bookmarkEnd w:id="203"/>
    <w:p>
      <w:pPr>
        <w:pStyle w:val="3"/>
        <w:pageBreakBefore w:val="0"/>
        <w:kinsoku/>
        <w:wordWrap/>
        <w:overflowPunct/>
        <w:topLinePunct w:val="0"/>
        <w:autoSpaceDE/>
        <w:autoSpaceDN/>
        <w:bidi w:val="0"/>
        <w:spacing w:line="570" w:lineRule="exact"/>
        <w:textAlignment w:val="auto"/>
      </w:pPr>
      <w:bookmarkStart w:id="204" w:name="_Toc102806575"/>
      <w:bookmarkStart w:id="205" w:name="_Toc19944"/>
      <w:bookmarkStart w:id="206" w:name="_Toc21908"/>
      <w:r>
        <w:rPr>
          <w:rFonts w:hint="eastAsia"/>
        </w:rPr>
        <w:t>（</w:t>
      </w:r>
      <w:r>
        <w:rPr>
          <w:rFonts w:hint="eastAsia"/>
          <w:lang w:eastAsia="zh-CN"/>
        </w:rPr>
        <w:t>一</w:t>
      </w:r>
      <w:r>
        <w:rPr>
          <w:rFonts w:hint="eastAsia"/>
        </w:rPr>
        <w:t>）报名信息填写</w:t>
      </w:r>
      <w:bookmarkEnd w:id="204"/>
      <w:bookmarkEnd w:id="205"/>
      <w:bookmarkEnd w:id="206"/>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请考生认真对照岗位资格条件等要求，务必准确、完整填写截至报名日的相关个人信息。</w:t>
      </w:r>
    </w:p>
    <w:p>
      <w:pPr>
        <w:pageBreakBefore w:val="0"/>
        <w:kinsoku/>
        <w:wordWrap/>
        <w:overflowPunct/>
        <w:topLinePunct w:val="0"/>
        <w:autoSpaceDE/>
        <w:autoSpaceDN/>
        <w:bidi w:val="0"/>
        <w:snapToGrid w:val="0"/>
        <w:spacing w:line="570" w:lineRule="exact"/>
        <w:ind w:firstLine="643" w:firstLineChars="200"/>
        <w:textAlignment w:val="auto"/>
        <w:outlineLvl w:val="2"/>
        <w:rPr>
          <w:rFonts w:hint="eastAsia" w:ascii="仿宋_GB2312" w:hAnsi="仿宋_GB2312" w:eastAsia="仿宋_GB2312" w:cs="仿宋_GB2312"/>
          <w:b/>
          <w:bCs/>
          <w:sz w:val="32"/>
          <w:szCs w:val="32"/>
        </w:rPr>
      </w:pPr>
      <w:bookmarkStart w:id="207" w:name="_Toc10868"/>
      <w:bookmarkStart w:id="208" w:name="_Toc3262"/>
      <w:bookmarkStart w:id="209" w:name="_Toc16055"/>
      <w:bookmarkStart w:id="210" w:name="_Toc3031"/>
      <w:r>
        <w:rPr>
          <w:rFonts w:hint="eastAsia" w:ascii="仿宋_GB2312" w:hAnsi="仿宋_GB2312" w:eastAsia="仿宋_GB2312" w:cs="仿宋_GB2312"/>
          <w:b/>
          <w:bCs/>
          <w:sz w:val="32"/>
          <w:szCs w:val="32"/>
        </w:rPr>
        <w:t>1.首次在报名系统注册的考生</w:t>
      </w:r>
      <w:bookmarkEnd w:id="207"/>
      <w:bookmarkEnd w:id="208"/>
      <w:bookmarkEnd w:id="209"/>
      <w:bookmarkEnd w:id="210"/>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考生应登录“报名系统”，根据截至报名日实际情况逐一填写个人相关信息，包括“我的基本信息”和“教育工作背景”等。</w:t>
      </w:r>
    </w:p>
    <w:p>
      <w:pPr>
        <w:pageBreakBefore w:val="0"/>
        <w:kinsoku/>
        <w:wordWrap/>
        <w:overflowPunct/>
        <w:topLinePunct w:val="0"/>
        <w:autoSpaceDE/>
        <w:autoSpaceDN/>
        <w:bidi w:val="0"/>
        <w:snapToGrid w:val="0"/>
        <w:spacing w:line="570" w:lineRule="exact"/>
        <w:ind w:firstLine="643" w:firstLineChars="200"/>
        <w:textAlignment w:val="auto"/>
        <w:outlineLvl w:val="2"/>
        <w:rPr>
          <w:rFonts w:hint="eastAsia" w:ascii="仿宋_GB2312" w:eastAsia="仿宋_GB2312"/>
          <w:sz w:val="32"/>
          <w:szCs w:val="32"/>
        </w:rPr>
      </w:pPr>
      <w:bookmarkStart w:id="211" w:name="_Toc13506"/>
      <w:bookmarkStart w:id="212" w:name="_Toc5835"/>
      <w:bookmarkStart w:id="213" w:name="_Toc16611"/>
      <w:bookmarkStart w:id="214" w:name="_Toc26295"/>
      <w:r>
        <w:rPr>
          <w:rFonts w:hint="eastAsia" w:ascii="仿宋_GB2312" w:eastAsia="仿宋_GB2312"/>
          <w:b/>
          <w:bCs/>
          <w:sz w:val="32"/>
          <w:szCs w:val="32"/>
        </w:rPr>
        <w:t>2.曾在报名系统注册的考生</w:t>
      </w:r>
      <w:bookmarkEnd w:id="211"/>
      <w:bookmarkEnd w:id="212"/>
      <w:bookmarkEnd w:id="213"/>
      <w:bookmarkEnd w:id="214"/>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务必再次重新修改完善个人相关信息。报名提交审核后修改填写的个人信息，系统将无法更新，导致报考单位按之前信息审核认定不合格。</w:t>
      </w:r>
    </w:p>
    <w:p>
      <w:pPr>
        <w:pStyle w:val="3"/>
        <w:pageBreakBefore w:val="0"/>
        <w:kinsoku/>
        <w:wordWrap/>
        <w:overflowPunct/>
        <w:topLinePunct w:val="0"/>
        <w:autoSpaceDE/>
        <w:autoSpaceDN/>
        <w:bidi w:val="0"/>
        <w:spacing w:line="570" w:lineRule="exact"/>
        <w:textAlignment w:val="auto"/>
      </w:pPr>
      <w:bookmarkStart w:id="215" w:name="_Toc102806576"/>
      <w:bookmarkStart w:id="216" w:name="_Toc24804"/>
      <w:bookmarkStart w:id="217" w:name="_Toc17297"/>
      <w:r>
        <w:rPr>
          <w:rFonts w:hint="eastAsia"/>
        </w:rPr>
        <w:t>（</w:t>
      </w:r>
      <w:r>
        <w:rPr>
          <w:rFonts w:hint="eastAsia"/>
          <w:lang w:eastAsia="zh-CN"/>
        </w:rPr>
        <w:t>二</w:t>
      </w:r>
      <w:r>
        <w:rPr>
          <w:rFonts w:hint="eastAsia"/>
        </w:rPr>
        <w:t>）报名次数限定</w:t>
      </w:r>
      <w:bookmarkEnd w:id="215"/>
      <w:bookmarkEnd w:id="216"/>
      <w:bookmarkEnd w:id="217"/>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同一个岗位考生最多提交审核3次。在招聘单位未审核前，考生可以在“已报名情况”中自行取消报名，自行取消报名次数不限。通过审核后不得取消或更改报名岗位。</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pStyle w:val="3"/>
        <w:pageBreakBefore w:val="0"/>
        <w:kinsoku/>
        <w:wordWrap/>
        <w:overflowPunct/>
        <w:topLinePunct w:val="0"/>
        <w:autoSpaceDE/>
        <w:autoSpaceDN/>
        <w:bidi w:val="0"/>
        <w:spacing w:line="570" w:lineRule="exact"/>
        <w:textAlignment w:val="auto"/>
      </w:pPr>
      <w:bookmarkStart w:id="218" w:name="_Toc102806577"/>
      <w:bookmarkStart w:id="219" w:name="_Toc15802"/>
      <w:bookmarkStart w:id="220" w:name="_Toc28993"/>
      <w:r>
        <w:rPr>
          <w:rFonts w:hint="eastAsia"/>
        </w:rPr>
        <w:t>（</w:t>
      </w:r>
      <w:r>
        <w:rPr>
          <w:rFonts w:hint="eastAsia"/>
          <w:lang w:eastAsia="zh-CN"/>
        </w:rPr>
        <w:t>三</w:t>
      </w:r>
      <w:r>
        <w:rPr>
          <w:rFonts w:hint="eastAsia"/>
        </w:rPr>
        <w:t>）申诉注意事项</w:t>
      </w:r>
      <w:bookmarkEnd w:id="218"/>
      <w:bookmarkEnd w:id="219"/>
      <w:bookmarkEnd w:id="220"/>
    </w:p>
    <w:p>
      <w:pPr>
        <w:pageBreakBefore w:val="0"/>
        <w:kinsoku/>
        <w:wordWrap/>
        <w:overflowPunct/>
        <w:topLinePunct w:val="0"/>
        <w:autoSpaceDE/>
        <w:autoSpaceDN/>
        <w:bidi w:val="0"/>
        <w:snapToGrid w:val="0"/>
        <w:spacing w:line="57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申诉功能只能使用1次，请慎用！</w:t>
      </w:r>
      <w:r>
        <w:rPr>
          <w:rFonts w:hint="eastAsia" w:ascii="仿宋_GB2312" w:eastAsia="仿宋_GB2312"/>
          <w:sz w:val="32"/>
          <w:szCs w:val="32"/>
        </w:rPr>
        <w:t>报考者在同一岗位被审核不通过达3次，经与招聘单位沟通核实，对岗位资格审核结果仍有异议的，可在规定期限内及时通过“报名系统”的申诉通道提出申诉。</w:t>
      </w:r>
    </w:p>
    <w:p>
      <w:pPr>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pageBreakBefore w:val="0"/>
        <w:kinsoku/>
        <w:wordWrap/>
        <w:overflowPunct/>
        <w:topLinePunct w:val="0"/>
        <w:autoSpaceDE/>
        <w:autoSpaceDN/>
        <w:bidi w:val="0"/>
        <w:snapToGrid w:val="0"/>
        <w:spacing w:line="57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申诉理由应尽量简洁明了，无需大段粘贴政策文件或专业目录原文。</w:t>
      </w:r>
    </w:p>
    <w:sectPr>
      <w:footerReference r:id="rId4" w:type="default"/>
      <w:pgSz w:w="11906" w:h="16838"/>
      <w:pgMar w:top="1418" w:right="1474" w:bottom="1418" w:left="1588"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9"/>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AzDrel/gEAAA4EAAAOAAAAAAAAAAEAIAAAAB8BAABkcnMvZTJvRG9jLnht&#10;bFBLBQYAAAAABgAGAFkBAACP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6223B"/>
    <w:multiLevelType w:val="singleLevel"/>
    <w:tmpl w:val="4946223B"/>
    <w:lvl w:ilvl="0" w:tentative="0">
      <w:start w:val="5"/>
      <w:numFmt w:val="chineseCounting"/>
      <w:suff w:val="nothing"/>
      <w:lvlText w:val="%1、"/>
      <w:lvlJc w:val="left"/>
      <w:rPr>
        <w:rFonts w:hint="eastAsia"/>
      </w:rPr>
    </w:lvl>
  </w:abstractNum>
  <w:abstractNum w:abstractNumId="1">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OTgxNmEwZWUxM2RkYjlmYzFlYjM3YWU5ZDI1MzMifQ=="/>
  </w:docVars>
  <w:rsids>
    <w:rsidRoot w:val="00CA3A16"/>
    <w:rsid w:val="00024CCB"/>
    <w:rsid w:val="000327EA"/>
    <w:rsid w:val="00034B8E"/>
    <w:rsid w:val="0004009B"/>
    <w:rsid w:val="00040619"/>
    <w:rsid w:val="00061345"/>
    <w:rsid w:val="000630F5"/>
    <w:rsid w:val="00065C9C"/>
    <w:rsid w:val="00083710"/>
    <w:rsid w:val="0009347B"/>
    <w:rsid w:val="000A75FC"/>
    <w:rsid w:val="000B0FC0"/>
    <w:rsid w:val="000B1E6E"/>
    <w:rsid w:val="000C0BBE"/>
    <w:rsid w:val="000C1A79"/>
    <w:rsid w:val="000D7CFF"/>
    <w:rsid w:val="00101C63"/>
    <w:rsid w:val="001141D7"/>
    <w:rsid w:val="0011755F"/>
    <w:rsid w:val="00137BC5"/>
    <w:rsid w:val="0014786A"/>
    <w:rsid w:val="0017732C"/>
    <w:rsid w:val="001A37E8"/>
    <w:rsid w:val="001B0419"/>
    <w:rsid w:val="001B41A7"/>
    <w:rsid w:val="001C3B14"/>
    <w:rsid w:val="001D2812"/>
    <w:rsid w:val="001D2B43"/>
    <w:rsid w:val="001D3F6C"/>
    <w:rsid w:val="001E744A"/>
    <w:rsid w:val="001F633A"/>
    <w:rsid w:val="00213A8B"/>
    <w:rsid w:val="00236AB8"/>
    <w:rsid w:val="002472E9"/>
    <w:rsid w:val="0025439C"/>
    <w:rsid w:val="00260B60"/>
    <w:rsid w:val="00273D3A"/>
    <w:rsid w:val="00283FFF"/>
    <w:rsid w:val="002870B8"/>
    <w:rsid w:val="0029226C"/>
    <w:rsid w:val="002A4F64"/>
    <w:rsid w:val="002A6E56"/>
    <w:rsid w:val="002B3195"/>
    <w:rsid w:val="002E7744"/>
    <w:rsid w:val="002F6529"/>
    <w:rsid w:val="0031053B"/>
    <w:rsid w:val="00323E6F"/>
    <w:rsid w:val="00327D0C"/>
    <w:rsid w:val="0033190A"/>
    <w:rsid w:val="003413FD"/>
    <w:rsid w:val="00352943"/>
    <w:rsid w:val="003758FD"/>
    <w:rsid w:val="0038584A"/>
    <w:rsid w:val="00390791"/>
    <w:rsid w:val="00393C30"/>
    <w:rsid w:val="0039564C"/>
    <w:rsid w:val="003A7D13"/>
    <w:rsid w:val="003B30DD"/>
    <w:rsid w:val="003B3661"/>
    <w:rsid w:val="003B73BD"/>
    <w:rsid w:val="003D39D6"/>
    <w:rsid w:val="003E2A5A"/>
    <w:rsid w:val="003F123B"/>
    <w:rsid w:val="003F1339"/>
    <w:rsid w:val="003F6248"/>
    <w:rsid w:val="00413DE3"/>
    <w:rsid w:val="004319DA"/>
    <w:rsid w:val="00473054"/>
    <w:rsid w:val="004869E0"/>
    <w:rsid w:val="00490726"/>
    <w:rsid w:val="004A42A3"/>
    <w:rsid w:val="004B1561"/>
    <w:rsid w:val="004B2DED"/>
    <w:rsid w:val="004B6278"/>
    <w:rsid w:val="004C2B60"/>
    <w:rsid w:val="004E3ED6"/>
    <w:rsid w:val="00503D56"/>
    <w:rsid w:val="00504187"/>
    <w:rsid w:val="005250F7"/>
    <w:rsid w:val="00526D5C"/>
    <w:rsid w:val="005345D7"/>
    <w:rsid w:val="00541E5E"/>
    <w:rsid w:val="00544387"/>
    <w:rsid w:val="005519B3"/>
    <w:rsid w:val="00551B2B"/>
    <w:rsid w:val="00555C24"/>
    <w:rsid w:val="00565159"/>
    <w:rsid w:val="00567350"/>
    <w:rsid w:val="00574AF0"/>
    <w:rsid w:val="005846E1"/>
    <w:rsid w:val="005917A9"/>
    <w:rsid w:val="005B69E2"/>
    <w:rsid w:val="005F6CA6"/>
    <w:rsid w:val="0060284B"/>
    <w:rsid w:val="00607711"/>
    <w:rsid w:val="006103D3"/>
    <w:rsid w:val="0061384E"/>
    <w:rsid w:val="006158CB"/>
    <w:rsid w:val="006213DD"/>
    <w:rsid w:val="00621ACA"/>
    <w:rsid w:val="006223EA"/>
    <w:rsid w:val="006229D9"/>
    <w:rsid w:val="00631E9A"/>
    <w:rsid w:val="00645369"/>
    <w:rsid w:val="006542B0"/>
    <w:rsid w:val="0065611A"/>
    <w:rsid w:val="00665DA5"/>
    <w:rsid w:val="00681410"/>
    <w:rsid w:val="006819D7"/>
    <w:rsid w:val="006833C8"/>
    <w:rsid w:val="0069064B"/>
    <w:rsid w:val="006A3257"/>
    <w:rsid w:val="006A506D"/>
    <w:rsid w:val="006A5852"/>
    <w:rsid w:val="006D2943"/>
    <w:rsid w:val="006D5211"/>
    <w:rsid w:val="006E3BAA"/>
    <w:rsid w:val="00702F8A"/>
    <w:rsid w:val="007220D0"/>
    <w:rsid w:val="00723CB1"/>
    <w:rsid w:val="00734055"/>
    <w:rsid w:val="007400FA"/>
    <w:rsid w:val="00756EC5"/>
    <w:rsid w:val="007705E8"/>
    <w:rsid w:val="00777E4A"/>
    <w:rsid w:val="00790DAD"/>
    <w:rsid w:val="00791B25"/>
    <w:rsid w:val="00791D16"/>
    <w:rsid w:val="007967EA"/>
    <w:rsid w:val="007C1B59"/>
    <w:rsid w:val="007C4212"/>
    <w:rsid w:val="007D0B19"/>
    <w:rsid w:val="007D437E"/>
    <w:rsid w:val="007E02C8"/>
    <w:rsid w:val="007E41A3"/>
    <w:rsid w:val="007F533F"/>
    <w:rsid w:val="0080368F"/>
    <w:rsid w:val="008132CA"/>
    <w:rsid w:val="00832857"/>
    <w:rsid w:val="0083620D"/>
    <w:rsid w:val="008610BF"/>
    <w:rsid w:val="00872411"/>
    <w:rsid w:val="00877227"/>
    <w:rsid w:val="00881AA0"/>
    <w:rsid w:val="0088480B"/>
    <w:rsid w:val="00894C77"/>
    <w:rsid w:val="00895091"/>
    <w:rsid w:val="008A5364"/>
    <w:rsid w:val="008B603D"/>
    <w:rsid w:val="008B79ED"/>
    <w:rsid w:val="008D1852"/>
    <w:rsid w:val="00905C34"/>
    <w:rsid w:val="00913B6C"/>
    <w:rsid w:val="00940152"/>
    <w:rsid w:val="00950F30"/>
    <w:rsid w:val="00954E45"/>
    <w:rsid w:val="00962CC8"/>
    <w:rsid w:val="00972D58"/>
    <w:rsid w:val="009A0CB4"/>
    <w:rsid w:val="009A3578"/>
    <w:rsid w:val="009C7859"/>
    <w:rsid w:val="009D0DDC"/>
    <w:rsid w:val="009D6A0F"/>
    <w:rsid w:val="009D6F29"/>
    <w:rsid w:val="009D7416"/>
    <w:rsid w:val="009E4603"/>
    <w:rsid w:val="009E4D11"/>
    <w:rsid w:val="00A01963"/>
    <w:rsid w:val="00A06918"/>
    <w:rsid w:val="00A1489E"/>
    <w:rsid w:val="00A217A8"/>
    <w:rsid w:val="00A268DE"/>
    <w:rsid w:val="00A31196"/>
    <w:rsid w:val="00A57868"/>
    <w:rsid w:val="00A65DD2"/>
    <w:rsid w:val="00A72375"/>
    <w:rsid w:val="00A74F77"/>
    <w:rsid w:val="00A805DA"/>
    <w:rsid w:val="00A84DFE"/>
    <w:rsid w:val="00AA508C"/>
    <w:rsid w:val="00AA6BF1"/>
    <w:rsid w:val="00AB091A"/>
    <w:rsid w:val="00AB1E03"/>
    <w:rsid w:val="00AB6A05"/>
    <w:rsid w:val="00B215F6"/>
    <w:rsid w:val="00B24F71"/>
    <w:rsid w:val="00B26EC3"/>
    <w:rsid w:val="00B30772"/>
    <w:rsid w:val="00B32262"/>
    <w:rsid w:val="00B42C35"/>
    <w:rsid w:val="00B46E15"/>
    <w:rsid w:val="00B84020"/>
    <w:rsid w:val="00B91E17"/>
    <w:rsid w:val="00BA29B7"/>
    <w:rsid w:val="00BA31A7"/>
    <w:rsid w:val="00BB2B71"/>
    <w:rsid w:val="00BF0C5A"/>
    <w:rsid w:val="00BF58CD"/>
    <w:rsid w:val="00C009D9"/>
    <w:rsid w:val="00C10BBC"/>
    <w:rsid w:val="00C11140"/>
    <w:rsid w:val="00C14388"/>
    <w:rsid w:val="00C17235"/>
    <w:rsid w:val="00C2186B"/>
    <w:rsid w:val="00C2304E"/>
    <w:rsid w:val="00C37E04"/>
    <w:rsid w:val="00C5389C"/>
    <w:rsid w:val="00C66186"/>
    <w:rsid w:val="00C71E92"/>
    <w:rsid w:val="00C8052F"/>
    <w:rsid w:val="00C8405A"/>
    <w:rsid w:val="00C845B5"/>
    <w:rsid w:val="00C94477"/>
    <w:rsid w:val="00CA3A16"/>
    <w:rsid w:val="00CA562B"/>
    <w:rsid w:val="00CA6F69"/>
    <w:rsid w:val="00CE73F4"/>
    <w:rsid w:val="00D03D42"/>
    <w:rsid w:val="00D07CFE"/>
    <w:rsid w:val="00D17020"/>
    <w:rsid w:val="00D34958"/>
    <w:rsid w:val="00D37E5D"/>
    <w:rsid w:val="00D402E6"/>
    <w:rsid w:val="00D40311"/>
    <w:rsid w:val="00D40F5F"/>
    <w:rsid w:val="00D43CF0"/>
    <w:rsid w:val="00D47F20"/>
    <w:rsid w:val="00D52D90"/>
    <w:rsid w:val="00D626DE"/>
    <w:rsid w:val="00D86DD5"/>
    <w:rsid w:val="00DA3C97"/>
    <w:rsid w:val="00DA5FC0"/>
    <w:rsid w:val="00DA7FB5"/>
    <w:rsid w:val="00DB0B1B"/>
    <w:rsid w:val="00DB0B27"/>
    <w:rsid w:val="00DB223A"/>
    <w:rsid w:val="00DD58E0"/>
    <w:rsid w:val="00DF4534"/>
    <w:rsid w:val="00E008D4"/>
    <w:rsid w:val="00E024DE"/>
    <w:rsid w:val="00E20B63"/>
    <w:rsid w:val="00E263FF"/>
    <w:rsid w:val="00E43EED"/>
    <w:rsid w:val="00E45BCB"/>
    <w:rsid w:val="00E501FF"/>
    <w:rsid w:val="00E61ED6"/>
    <w:rsid w:val="00E64BFF"/>
    <w:rsid w:val="00E653DC"/>
    <w:rsid w:val="00E85A5E"/>
    <w:rsid w:val="00EA31FA"/>
    <w:rsid w:val="00EA35A1"/>
    <w:rsid w:val="00EB4277"/>
    <w:rsid w:val="00EC0FDE"/>
    <w:rsid w:val="00ED7167"/>
    <w:rsid w:val="00ED761D"/>
    <w:rsid w:val="00EE4163"/>
    <w:rsid w:val="00EE7384"/>
    <w:rsid w:val="00F0419D"/>
    <w:rsid w:val="00F07FBE"/>
    <w:rsid w:val="00F12DD7"/>
    <w:rsid w:val="00F135AC"/>
    <w:rsid w:val="00F2449F"/>
    <w:rsid w:val="00F24AC9"/>
    <w:rsid w:val="00F34B3F"/>
    <w:rsid w:val="00F44D41"/>
    <w:rsid w:val="00F5073D"/>
    <w:rsid w:val="00F5550C"/>
    <w:rsid w:val="00F60F54"/>
    <w:rsid w:val="00F65A11"/>
    <w:rsid w:val="00F8296D"/>
    <w:rsid w:val="00F84DA1"/>
    <w:rsid w:val="00F95CF6"/>
    <w:rsid w:val="00FC084C"/>
    <w:rsid w:val="00FC74FA"/>
    <w:rsid w:val="00FC7AD4"/>
    <w:rsid w:val="00FD6AD6"/>
    <w:rsid w:val="00FF064A"/>
    <w:rsid w:val="012E4057"/>
    <w:rsid w:val="01706B3D"/>
    <w:rsid w:val="020028B0"/>
    <w:rsid w:val="029C19EF"/>
    <w:rsid w:val="02AF79A2"/>
    <w:rsid w:val="0313737B"/>
    <w:rsid w:val="039D63E2"/>
    <w:rsid w:val="03B25314"/>
    <w:rsid w:val="03C81C0C"/>
    <w:rsid w:val="0431644B"/>
    <w:rsid w:val="04882EFC"/>
    <w:rsid w:val="057714CA"/>
    <w:rsid w:val="05AC43BD"/>
    <w:rsid w:val="05D97382"/>
    <w:rsid w:val="060D0DBE"/>
    <w:rsid w:val="063C65E5"/>
    <w:rsid w:val="06B534C8"/>
    <w:rsid w:val="06D75243"/>
    <w:rsid w:val="085459A4"/>
    <w:rsid w:val="089D2016"/>
    <w:rsid w:val="09283A63"/>
    <w:rsid w:val="09D1113A"/>
    <w:rsid w:val="0A2926EC"/>
    <w:rsid w:val="0ABE0466"/>
    <w:rsid w:val="0B424B21"/>
    <w:rsid w:val="0BBC16DC"/>
    <w:rsid w:val="0BCA2B3D"/>
    <w:rsid w:val="0C42075F"/>
    <w:rsid w:val="0C62192F"/>
    <w:rsid w:val="0C9537CF"/>
    <w:rsid w:val="0CB229A4"/>
    <w:rsid w:val="0CFA7F8B"/>
    <w:rsid w:val="0DB61DFE"/>
    <w:rsid w:val="0E1654C7"/>
    <w:rsid w:val="0EC36EF9"/>
    <w:rsid w:val="0EEC0086"/>
    <w:rsid w:val="0EFC1000"/>
    <w:rsid w:val="0FB1548E"/>
    <w:rsid w:val="0FE91000"/>
    <w:rsid w:val="100064EA"/>
    <w:rsid w:val="11D50F5D"/>
    <w:rsid w:val="127C59E8"/>
    <w:rsid w:val="12B17B3E"/>
    <w:rsid w:val="135A5B2F"/>
    <w:rsid w:val="137A7CA3"/>
    <w:rsid w:val="14CE1044"/>
    <w:rsid w:val="1506149C"/>
    <w:rsid w:val="15502A51"/>
    <w:rsid w:val="15714F96"/>
    <w:rsid w:val="15D95F9E"/>
    <w:rsid w:val="16B12E3A"/>
    <w:rsid w:val="16D0666A"/>
    <w:rsid w:val="17000058"/>
    <w:rsid w:val="174116A4"/>
    <w:rsid w:val="17C559D9"/>
    <w:rsid w:val="18775F23"/>
    <w:rsid w:val="1883196F"/>
    <w:rsid w:val="18DC4FBF"/>
    <w:rsid w:val="19F2321C"/>
    <w:rsid w:val="1A6D1194"/>
    <w:rsid w:val="1B4D3A90"/>
    <w:rsid w:val="1C277ADD"/>
    <w:rsid w:val="1E381C14"/>
    <w:rsid w:val="1EAE54C8"/>
    <w:rsid w:val="1EC13E26"/>
    <w:rsid w:val="1FAD1DE7"/>
    <w:rsid w:val="206474C3"/>
    <w:rsid w:val="20AB3B48"/>
    <w:rsid w:val="20D11DC7"/>
    <w:rsid w:val="2107136B"/>
    <w:rsid w:val="212E6965"/>
    <w:rsid w:val="21CD6AB5"/>
    <w:rsid w:val="21F41D88"/>
    <w:rsid w:val="224F3728"/>
    <w:rsid w:val="23103EF2"/>
    <w:rsid w:val="23B83892"/>
    <w:rsid w:val="23BB2704"/>
    <w:rsid w:val="23D655E4"/>
    <w:rsid w:val="23DA0315"/>
    <w:rsid w:val="242714D3"/>
    <w:rsid w:val="248C709C"/>
    <w:rsid w:val="253668B6"/>
    <w:rsid w:val="25454C78"/>
    <w:rsid w:val="25637318"/>
    <w:rsid w:val="25B64A56"/>
    <w:rsid w:val="262877F4"/>
    <w:rsid w:val="2697026A"/>
    <w:rsid w:val="27434329"/>
    <w:rsid w:val="27613E34"/>
    <w:rsid w:val="278B636C"/>
    <w:rsid w:val="27DD732A"/>
    <w:rsid w:val="28654F9C"/>
    <w:rsid w:val="28CF4161"/>
    <w:rsid w:val="29A27F83"/>
    <w:rsid w:val="29DC3048"/>
    <w:rsid w:val="2A46176F"/>
    <w:rsid w:val="2A681CA7"/>
    <w:rsid w:val="2AB93EDB"/>
    <w:rsid w:val="2B157704"/>
    <w:rsid w:val="2B5A73B3"/>
    <w:rsid w:val="2C0C1B4F"/>
    <w:rsid w:val="2C4A3345"/>
    <w:rsid w:val="2D0A1C91"/>
    <w:rsid w:val="2D146264"/>
    <w:rsid w:val="2D1620D0"/>
    <w:rsid w:val="2D2B386A"/>
    <w:rsid w:val="2D3D3232"/>
    <w:rsid w:val="2D8F5E9A"/>
    <w:rsid w:val="2E10141D"/>
    <w:rsid w:val="2E160F66"/>
    <w:rsid w:val="2E2F1FB0"/>
    <w:rsid w:val="2E3E4060"/>
    <w:rsid w:val="2EB1083F"/>
    <w:rsid w:val="2EBF1CF7"/>
    <w:rsid w:val="2ED55ABF"/>
    <w:rsid w:val="2EF03772"/>
    <w:rsid w:val="2F4D39DB"/>
    <w:rsid w:val="2F5A04DD"/>
    <w:rsid w:val="2FCF1868"/>
    <w:rsid w:val="2FF31FA0"/>
    <w:rsid w:val="2FFB7FF5"/>
    <w:rsid w:val="30F8458A"/>
    <w:rsid w:val="30FA1876"/>
    <w:rsid w:val="3112736D"/>
    <w:rsid w:val="319372F8"/>
    <w:rsid w:val="329E37E0"/>
    <w:rsid w:val="330D7063"/>
    <w:rsid w:val="331D1B45"/>
    <w:rsid w:val="34054802"/>
    <w:rsid w:val="34171B12"/>
    <w:rsid w:val="34407745"/>
    <w:rsid w:val="34FD21E1"/>
    <w:rsid w:val="36254EF0"/>
    <w:rsid w:val="36433543"/>
    <w:rsid w:val="36541C68"/>
    <w:rsid w:val="38303C6E"/>
    <w:rsid w:val="387E7A86"/>
    <w:rsid w:val="38A17E31"/>
    <w:rsid w:val="38FD340C"/>
    <w:rsid w:val="390E6A3F"/>
    <w:rsid w:val="39DE51F3"/>
    <w:rsid w:val="3A4A0A80"/>
    <w:rsid w:val="3CAA7142"/>
    <w:rsid w:val="3D237E8B"/>
    <w:rsid w:val="3D3C6670"/>
    <w:rsid w:val="3D5926B2"/>
    <w:rsid w:val="3D8D1D6A"/>
    <w:rsid w:val="3E742100"/>
    <w:rsid w:val="40280F9C"/>
    <w:rsid w:val="415129D8"/>
    <w:rsid w:val="41FD4244"/>
    <w:rsid w:val="431A4FDF"/>
    <w:rsid w:val="433600E8"/>
    <w:rsid w:val="44DF1FE4"/>
    <w:rsid w:val="4562713E"/>
    <w:rsid w:val="45C66CF9"/>
    <w:rsid w:val="45D103AB"/>
    <w:rsid w:val="45D321F0"/>
    <w:rsid w:val="46DF3096"/>
    <w:rsid w:val="47240519"/>
    <w:rsid w:val="4795328A"/>
    <w:rsid w:val="48613330"/>
    <w:rsid w:val="48945CA1"/>
    <w:rsid w:val="48C75D1F"/>
    <w:rsid w:val="4A325B32"/>
    <w:rsid w:val="4BA426B2"/>
    <w:rsid w:val="4C9B4511"/>
    <w:rsid w:val="4D452DD4"/>
    <w:rsid w:val="4D667BAF"/>
    <w:rsid w:val="4DF94E97"/>
    <w:rsid w:val="4E073F0E"/>
    <w:rsid w:val="4E7B6BE7"/>
    <w:rsid w:val="4EAD3A54"/>
    <w:rsid w:val="4EBD7FB6"/>
    <w:rsid w:val="4EBE1275"/>
    <w:rsid w:val="4EC918D2"/>
    <w:rsid w:val="4EE73456"/>
    <w:rsid w:val="4EFE0085"/>
    <w:rsid w:val="4FEF114B"/>
    <w:rsid w:val="50224539"/>
    <w:rsid w:val="50247421"/>
    <w:rsid w:val="50496881"/>
    <w:rsid w:val="5067010A"/>
    <w:rsid w:val="50B679B6"/>
    <w:rsid w:val="50C56250"/>
    <w:rsid w:val="51C74C19"/>
    <w:rsid w:val="52FB3729"/>
    <w:rsid w:val="53564D9D"/>
    <w:rsid w:val="540313D5"/>
    <w:rsid w:val="546159B3"/>
    <w:rsid w:val="54EC7875"/>
    <w:rsid w:val="55822BDB"/>
    <w:rsid w:val="56175EF9"/>
    <w:rsid w:val="56BE477A"/>
    <w:rsid w:val="576F2D86"/>
    <w:rsid w:val="578D1583"/>
    <w:rsid w:val="579E6CD9"/>
    <w:rsid w:val="586D648B"/>
    <w:rsid w:val="588130FE"/>
    <w:rsid w:val="58957AF6"/>
    <w:rsid w:val="595208AE"/>
    <w:rsid w:val="597E5402"/>
    <w:rsid w:val="5A4B7E73"/>
    <w:rsid w:val="5A551433"/>
    <w:rsid w:val="5A6E3F82"/>
    <w:rsid w:val="5A9340A0"/>
    <w:rsid w:val="5AAA10A0"/>
    <w:rsid w:val="5B726F99"/>
    <w:rsid w:val="5B8940A1"/>
    <w:rsid w:val="5BF24A76"/>
    <w:rsid w:val="5C033BC0"/>
    <w:rsid w:val="5C5B4408"/>
    <w:rsid w:val="5C620362"/>
    <w:rsid w:val="5C976E58"/>
    <w:rsid w:val="5DFF4EA3"/>
    <w:rsid w:val="5E1C0D12"/>
    <w:rsid w:val="5EAB5FC1"/>
    <w:rsid w:val="5F3A704F"/>
    <w:rsid w:val="602A3FA6"/>
    <w:rsid w:val="62E81473"/>
    <w:rsid w:val="630A031B"/>
    <w:rsid w:val="632A4FD2"/>
    <w:rsid w:val="633A3546"/>
    <w:rsid w:val="63FD2BB4"/>
    <w:rsid w:val="642C7E79"/>
    <w:rsid w:val="64901386"/>
    <w:rsid w:val="6529276A"/>
    <w:rsid w:val="65561D37"/>
    <w:rsid w:val="658A349C"/>
    <w:rsid w:val="662218A6"/>
    <w:rsid w:val="66486604"/>
    <w:rsid w:val="66686E0E"/>
    <w:rsid w:val="67587B68"/>
    <w:rsid w:val="683D067A"/>
    <w:rsid w:val="684E2CED"/>
    <w:rsid w:val="6856256C"/>
    <w:rsid w:val="688F48E3"/>
    <w:rsid w:val="68EC1790"/>
    <w:rsid w:val="699B2168"/>
    <w:rsid w:val="69E11422"/>
    <w:rsid w:val="6A1F5B15"/>
    <w:rsid w:val="6ACA2314"/>
    <w:rsid w:val="6BB73BC1"/>
    <w:rsid w:val="6BE172C8"/>
    <w:rsid w:val="6CB75464"/>
    <w:rsid w:val="6D9912B9"/>
    <w:rsid w:val="6E2A6D53"/>
    <w:rsid w:val="6E7C5CB3"/>
    <w:rsid w:val="6F122394"/>
    <w:rsid w:val="6FEE47F4"/>
    <w:rsid w:val="70A854E5"/>
    <w:rsid w:val="70EA56E6"/>
    <w:rsid w:val="70EE53CD"/>
    <w:rsid w:val="72080B36"/>
    <w:rsid w:val="736B2384"/>
    <w:rsid w:val="743C5AC7"/>
    <w:rsid w:val="74614AD8"/>
    <w:rsid w:val="746F7336"/>
    <w:rsid w:val="747852FC"/>
    <w:rsid w:val="75594731"/>
    <w:rsid w:val="75CD167C"/>
    <w:rsid w:val="76F4145D"/>
    <w:rsid w:val="76F70E5D"/>
    <w:rsid w:val="77362272"/>
    <w:rsid w:val="777506C5"/>
    <w:rsid w:val="77DE2C87"/>
    <w:rsid w:val="77EC41DA"/>
    <w:rsid w:val="785B6B77"/>
    <w:rsid w:val="78674336"/>
    <w:rsid w:val="78E77648"/>
    <w:rsid w:val="796D3657"/>
    <w:rsid w:val="79761646"/>
    <w:rsid w:val="7A595755"/>
    <w:rsid w:val="7A63394F"/>
    <w:rsid w:val="7AEA5CB2"/>
    <w:rsid w:val="7B090008"/>
    <w:rsid w:val="7BF511F2"/>
    <w:rsid w:val="7C4A1585"/>
    <w:rsid w:val="7C837DDC"/>
    <w:rsid w:val="7CD35B3D"/>
    <w:rsid w:val="7DA302C5"/>
    <w:rsid w:val="7DD8399D"/>
    <w:rsid w:val="7EC51733"/>
    <w:rsid w:val="7F46651B"/>
    <w:rsid w:val="7F526B1C"/>
    <w:rsid w:val="7F5925CC"/>
    <w:rsid w:val="7FE650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locked/>
    <w:uiPriority w:val="99"/>
    <w:pPr>
      <w:keepNext/>
      <w:keepLines/>
      <w:spacing w:line="576" w:lineRule="auto"/>
      <w:ind w:firstLine="544" w:firstLineChars="200"/>
      <w:outlineLvl w:val="0"/>
    </w:pPr>
    <w:rPr>
      <w:rFonts w:eastAsia="黑体"/>
      <w:b/>
      <w:kern w:val="44"/>
      <w:sz w:val="32"/>
    </w:rPr>
  </w:style>
  <w:style w:type="paragraph" w:styleId="3">
    <w:name w:val="heading 2"/>
    <w:basedOn w:val="1"/>
    <w:next w:val="1"/>
    <w:link w:val="30"/>
    <w:unhideWhenUsed/>
    <w:qFormat/>
    <w:locked/>
    <w:uiPriority w:val="0"/>
    <w:pPr>
      <w:keepNext/>
      <w:keepLines/>
      <w:spacing w:line="240" w:lineRule="auto"/>
      <w:ind w:firstLine="544" w:firstLineChars="200"/>
      <w:outlineLvl w:val="1"/>
    </w:pPr>
    <w:rPr>
      <w:rFonts w:eastAsia="楷体_GB2312" w:asciiTheme="majorAscii" w:hAnsiTheme="majorAscii" w:cstheme="majorBidi"/>
      <w:b/>
      <w:bCs/>
      <w:sz w:val="32"/>
      <w:szCs w:val="32"/>
    </w:rPr>
  </w:style>
  <w:style w:type="paragraph" w:styleId="4">
    <w:name w:val="heading 3"/>
    <w:basedOn w:val="1"/>
    <w:next w:val="1"/>
    <w:link w:val="31"/>
    <w:unhideWhenUsed/>
    <w:qFormat/>
    <w:locked/>
    <w:uiPriority w:val="0"/>
    <w:pPr>
      <w:keepNext/>
      <w:keepLines/>
      <w:spacing w:line="416" w:lineRule="auto"/>
      <w:ind w:firstLine="544" w:firstLineChars="200"/>
      <w:outlineLvl w:val="2"/>
    </w:pPr>
    <w:rPr>
      <w:rFonts w:eastAsia="仿宋_GB2312"/>
      <w:b/>
      <w:bCs/>
      <w:sz w:val="32"/>
      <w:szCs w:val="32"/>
    </w:rPr>
  </w:style>
  <w:style w:type="paragraph" w:styleId="5">
    <w:name w:val="heading 4"/>
    <w:basedOn w:val="1"/>
    <w:next w:val="1"/>
    <w:link w:val="33"/>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semiHidden/>
    <w:qFormat/>
    <w:uiPriority w:val="99"/>
    <w:pPr>
      <w:jc w:val="left"/>
    </w:pPr>
  </w:style>
  <w:style w:type="paragraph" w:styleId="7">
    <w:name w:val="toc 3"/>
    <w:basedOn w:val="1"/>
    <w:next w:val="1"/>
    <w:qFormat/>
    <w:locked/>
    <w:uiPriority w:val="39"/>
    <w:pPr>
      <w:ind w:left="840" w:leftChars="400"/>
    </w:pPr>
  </w:style>
  <w:style w:type="paragraph" w:styleId="8">
    <w:name w:val="Balloon Text"/>
    <w:basedOn w:val="1"/>
    <w:link w:val="24"/>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1"/>
    <w:next w:val="1"/>
    <w:link w:val="32"/>
    <w:qFormat/>
    <w:locked/>
    <w:uiPriority w:val="0"/>
    <w:pPr>
      <w:spacing w:before="240" w:after="60" w:line="312" w:lineRule="auto"/>
      <w:jc w:val="center"/>
      <w:outlineLvl w:val="1"/>
    </w:pPr>
    <w:rPr>
      <w:rFonts w:asciiTheme="majorHAnsi" w:hAnsiTheme="majorHAnsi" w:cstheme="majorBidi"/>
      <w:b/>
      <w:bCs/>
      <w:kern w:val="28"/>
      <w:sz w:val="32"/>
      <w:szCs w:val="32"/>
    </w:rPr>
  </w:style>
  <w:style w:type="paragraph" w:styleId="13">
    <w:name w:val="toc 2"/>
    <w:basedOn w:val="1"/>
    <w:next w:val="1"/>
    <w:qFormat/>
    <w:uiPriority w:val="39"/>
    <w:pPr>
      <w:ind w:left="420" w:leftChars="200"/>
    </w:pPr>
  </w:style>
  <w:style w:type="paragraph" w:styleId="14">
    <w:name w:val="Title"/>
    <w:basedOn w:val="1"/>
    <w:next w:val="1"/>
    <w:link w:val="34"/>
    <w:qFormat/>
    <w:locked/>
    <w:uiPriority w:val="0"/>
    <w:pPr>
      <w:spacing w:before="240" w:after="60"/>
      <w:jc w:val="center"/>
      <w:outlineLvl w:val="0"/>
    </w:pPr>
    <w:rPr>
      <w:rFonts w:asciiTheme="majorHAnsi" w:hAnsiTheme="majorHAnsi" w:cstheme="majorBidi"/>
      <w:b/>
      <w:bCs/>
      <w:sz w:val="32"/>
      <w:szCs w:val="32"/>
    </w:rPr>
  </w:style>
  <w:style w:type="character" w:styleId="17">
    <w:name w:val="Strong"/>
    <w:basedOn w:val="16"/>
    <w:qFormat/>
    <w:locked/>
    <w:uiPriority w:val="0"/>
    <w:rPr>
      <w:b/>
      <w:bCs/>
    </w:rPr>
  </w:style>
  <w:style w:type="character" w:styleId="18">
    <w:name w:val="FollowedHyperlink"/>
    <w:basedOn w:val="16"/>
    <w:qFormat/>
    <w:uiPriority w:val="99"/>
    <w:rPr>
      <w:rFonts w:cs="Times New Roman"/>
      <w:color w:val="800080"/>
      <w:u w:val="single"/>
    </w:rPr>
  </w:style>
  <w:style w:type="character" w:styleId="19">
    <w:name w:val="Emphasis"/>
    <w:basedOn w:val="16"/>
    <w:qFormat/>
    <w:locked/>
    <w:uiPriority w:val="0"/>
    <w:rPr>
      <w:i/>
      <w:iCs/>
    </w:rPr>
  </w:style>
  <w:style w:type="character" w:styleId="20">
    <w:name w:val="Hyperlink"/>
    <w:basedOn w:val="16"/>
    <w:qFormat/>
    <w:uiPriority w:val="99"/>
    <w:rPr>
      <w:rFonts w:cs="Times New Roman"/>
      <w:color w:val="0000FF"/>
      <w:u w:val="single"/>
    </w:rPr>
  </w:style>
  <w:style w:type="character" w:styleId="21">
    <w:name w:val="annotation reference"/>
    <w:basedOn w:val="16"/>
    <w:semiHidden/>
    <w:qFormat/>
    <w:uiPriority w:val="99"/>
    <w:rPr>
      <w:rFonts w:cs="Times New Roman"/>
      <w:sz w:val="21"/>
      <w:szCs w:val="21"/>
    </w:rPr>
  </w:style>
  <w:style w:type="character" w:customStyle="1" w:styleId="22">
    <w:name w:val="标题 1 Char"/>
    <w:basedOn w:val="16"/>
    <w:link w:val="2"/>
    <w:qFormat/>
    <w:locked/>
    <w:uiPriority w:val="99"/>
    <w:rPr>
      <w:rFonts w:ascii="Calibri" w:hAnsi="Calibri" w:eastAsia="黑体" w:cs="Times New Roman"/>
      <w:b/>
      <w:kern w:val="44"/>
      <w:sz w:val="32"/>
      <w:szCs w:val="22"/>
      <w:lang w:val="en-US" w:eastAsia="zh-CN" w:bidi="ar-SA"/>
    </w:rPr>
  </w:style>
  <w:style w:type="character" w:customStyle="1" w:styleId="23">
    <w:name w:val="批注文字 Char"/>
    <w:basedOn w:val="16"/>
    <w:link w:val="6"/>
    <w:semiHidden/>
    <w:qFormat/>
    <w:locked/>
    <w:uiPriority w:val="99"/>
    <w:rPr>
      <w:rFonts w:cs="Times New Roman"/>
    </w:rPr>
  </w:style>
  <w:style w:type="character" w:customStyle="1" w:styleId="24">
    <w:name w:val="批注框文本 Char"/>
    <w:basedOn w:val="16"/>
    <w:link w:val="8"/>
    <w:semiHidden/>
    <w:qFormat/>
    <w:locked/>
    <w:uiPriority w:val="99"/>
    <w:rPr>
      <w:rFonts w:cs="Times New Roman"/>
      <w:sz w:val="2"/>
    </w:rPr>
  </w:style>
  <w:style w:type="character" w:customStyle="1" w:styleId="25">
    <w:name w:val="页脚 Char"/>
    <w:basedOn w:val="16"/>
    <w:link w:val="9"/>
    <w:qFormat/>
    <w:locked/>
    <w:uiPriority w:val="99"/>
    <w:rPr>
      <w:rFonts w:cs="Times New Roman"/>
      <w:sz w:val="18"/>
      <w:szCs w:val="18"/>
    </w:rPr>
  </w:style>
  <w:style w:type="character" w:customStyle="1" w:styleId="26">
    <w:name w:val="页眉 Char"/>
    <w:basedOn w:val="16"/>
    <w:link w:val="10"/>
    <w:semiHidden/>
    <w:qFormat/>
    <w:locked/>
    <w:uiPriority w:val="99"/>
    <w:rPr>
      <w:rFonts w:cs="Times New Roman"/>
      <w:sz w:val="18"/>
      <w:szCs w:val="18"/>
    </w:rPr>
  </w:style>
  <w:style w:type="paragraph" w:customStyle="1" w:styleId="27">
    <w:name w:val="WPSOffice手动目录 1"/>
    <w:qFormat/>
    <w:uiPriority w:val="99"/>
    <w:rPr>
      <w:rFonts w:ascii="Times New Roman" w:hAnsi="Times New Roman" w:eastAsia="宋体" w:cs="Times New Roman"/>
      <w:lang w:val="en-US" w:eastAsia="zh-CN" w:bidi="ar-SA"/>
    </w:rPr>
  </w:style>
  <w:style w:type="paragraph" w:customStyle="1" w:styleId="28">
    <w:name w:val="WPSOffice手动目录 2"/>
    <w:qFormat/>
    <w:uiPriority w:val="99"/>
    <w:pPr>
      <w:ind w:left="200" w:leftChars="200"/>
    </w:pPr>
    <w:rPr>
      <w:rFonts w:ascii="Times New Roman" w:hAnsi="Times New Roman" w:eastAsia="宋体" w:cs="Times New Roman"/>
      <w:lang w:val="en-US" w:eastAsia="zh-CN" w:bidi="ar-SA"/>
    </w:rPr>
  </w:style>
  <w:style w:type="paragraph" w:styleId="29">
    <w:name w:val="List Paragraph"/>
    <w:basedOn w:val="1"/>
    <w:qFormat/>
    <w:uiPriority w:val="99"/>
    <w:pPr>
      <w:ind w:firstLine="420" w:firstLineChars="200"/>
    </w:pPr>
  </w:style>
  <w:style w:type="character" w:customStyle="1" w:styleId="30">
    <w:name w:val="标题 2 Char"/>
    <w:basedOn w:val="16"/>
    <w:link w:val="3"/>
    <w:qFormat/>
    <w:uiPriority w:val="0"/>
    <w:rPr>
      <w:rFonts w:eastAsia="楷体_GB2312" w:asciiTheme="majorAscii" w:hAnsiTheme="majorAscii" w:cstheme="majorBidi"/>
      <w:b/>
      <w:bCs/>
      <w:kern w:val="2"/>
      <w:sz w:val="32"/>
      <w:szCs w:val="32"/>
    </w:rPr>
  </w:style>
  <w:style w:type="character" w:customStyle="1" w:styleId="31">
    <w:name w:val="标题 3 Char"/>
    <w:basedOn w:val="16"/>
    <w:link w:val="4"/>
    <w:qFormat/>
    <w:uiPriority w:val="0"/>
    <w:rPr>
      <w:rFonts w:ascii="Calibri" w:hAnsi="Calibri" w:eastAsia="仿宋_GB2312"/>
      <w:b/>
      <w:bCs/>
      <w:kern w:val="2"/>
      <w:sz w:val="32"/>
      <w:szCs w:val="32"/>
    </w:rPr>
  </w:style>
  <w:style w:type="character" w:customStyle="1" w:styleId="32">
    <w:name w:val="副标题 Char"/>
    <w:basedOn w:val="16"/>
    <w:link w:val="12"/>
    <w:qFormat/>
    <w:uiPriority w:val="0"/>
    <w:rPr>
      <w:rFonts w:eastAsia="宋体" w:asciiTheme="majorHAnsi" w:hAnsiTheme="majorHAnsi" w:cstheme="majorBidi"/>
      <w:b/>
      <w:bCs/>
      <w:kern w:val="28"/>
      <w:sz w:val="32"/>
      <w:szCs w:val="32"/>
    </w:rPr>
  </w:style>
  <w:style w:type="character" w:customStyle="1" w:styleId="33">
    <w:name w:val="标题 4 Char"/>
    <w:basedOn w:val="16"/>
    <w:link w:val="5"/>
    <w:qFormat/>
    <w:uiPriority w:val="0"/>
    <w:rPr>
      <w:rFonts w:asciiTheme="majorHAnsi" w:hAnsiTheme="majorHAnsi" w:eastAsiaTheme="majorEastAsia" w:cstheme="majorBidi"/>
      <w:b/>
      <w:bCs/>
      <w:kern w:val="2"/>
      <w:sz w:val="28"/>
      <w:szCs w:val="28"/>
    </w:rPr>
  </w:style>
  <w:style w:type="character" w:customStyle="1" w:styleId="34">
    <w:name w:val="标题 Char"/>
    <w:basedOn w:val="16"/>
    <w:link w:val="14"/>
    <w:qFormat/>
    <w:uiPriority w:val="0"/>
    <w:rPr>
      <w:rFonts w:eastAsia="宋体" w:asciiTheme="majorHAnsi" w:hAnsiTheme="majorHAnsi" w:cstheme="majorBidi"/>
      <w:b/>
      <w:bCs/>
      <w:kern w:val="2"/>
      <w:sz w:val="32"/>
      <w:szCs w:val="32"/>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809C8-FAEE-45B8-8BED-63593B071C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10128</Words>
  <Characters>10417</Characters>
  <Lines>98</Lines>
  <Paragraphs>27</Paragraphs>
  <TotalTime>11</TotalTime>
  <ScaleCrop>false</ScaleCrop>
  <LinksUpToDate>false</LinksUpToDate>
  <CharactersWithSpaces>10591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2022-05-07T01:05:00Z</dcterms:created>
  <dc:creator>dell</dc:creator>
  <cp:lastModifiedBy>Administrator</cp:lastModifiedBy>
  <cp:lastPrinted>2024-05-10T02:10:00Z</cp:lastPrinted>
  <dcterms:modified xsi:type="dcterms:W3CDTF">2024-05-14T06:47:10Z</dcterms:modified>
  <dc:title>附件1：厦门市同安区所属卫生事业单位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A2B0811330E3445DAE3C5B9AFFC3015B_13</vt:lpwstr>
  </property>
</Properties>
</file>