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扶余市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工作人员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（含专项招聘高校毕业生）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考试大纲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扶余市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笔试工作需要，拟定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扶余市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考试大纲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通用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。此大纲涵盖的内容为纲领性内容，仅为考生复习提供一定的参考和借鉴。</w:t>
      </w:r>
    </w:p>
    <w:p>
      <w:pPr>
        <w:widowControl w:val="0"/>
        <w:wordWrap/>
        <w:adjustRightInd/>
        <w:snapToGrid/>
        <w:spacing w:before="0" w:after="0" w:line="560" w:lineRule="exact"/>
        <w:ind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一、医学</w:t>
      </w:r>
      <w:r>
        <w:rPr>
          <w:rFonts w:hint="eastAsia" w:ascii="黑体" w:hAnsi="黑体" w:eastAsia="黑体"/>
          <w:sz w:val="32"/>
          <w:szCs w:val="32"/>
        </w:rPr>
        <w:t>基础知识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考试时限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考试形式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考试题型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笔试范围为人体解剖学、生理学、医学微生物学、医学免疫学、病理学、药理学、诊断学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、内科学、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卫生法学、医患沟通与技巧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二、通用知识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sz w:val="32"/>
          <w:szCs w:val="32"/>
        </w:rPr>
        <w:t>考试时限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hint="eastAsia" w:ascii="方正黑体简体" w:hAnsi="宋体" w:eastAsia="方正黑体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sz w:val="32"/>
          <w:szCs w:val="32"/>
        </w:rPr>
        <w:t>考试形式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ind w:firstLine="640" w:firstLineChars="200"/>
        <w:rPr>
          <w:rFonts w:hint="eastAsia" w:ascii="方正黑体简体" w:hAnsi="宋体" w:eastAsia="方正黑体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sz w:val="32"/>
          <w:szCs w:val="32"/>
        </w:rPr>
        <w:t>考试题型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ind w:firstLine="640" w:firstLineChars="200"/>
        <w:rPr>
          <w:rFonts w:hint="eastAsia" w:ascii="方正黑体简体" w:hAnsi="宋体" w:eastAsia="方正黑体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Cs/>
          <w:sz w:val="32"/>
          <w:szCs w:val="32"/>
        </w:rPr>
        <w:t>考试参考内容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1．政治。主要包括：马克思主义基本原理、毛泽东思想、邓小平理论、“三个代表”重要思想、科学发展观、习近平新时代中国特色社会主义思想。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2．法律。主要包括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法学基础理论、宪法、行政法、刑法、民法、经济法、社会法、环境与资源保护法、诉讼程序法等。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经济常识。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主要包括马克思主义政治经济学、社会主义市场经济理论等。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4．道德建设。主要包括：公民道德、职业道德。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5．时事政治与基本常识：近一年来的国际、国内重大时事、社会热点问题等；自然、历史、人文、科技、生活、安全等百科知识。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6．行政职业能力相关知识。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7．其他：与事业单位相关的法律、法规、规定及从业人员所应具备的基本素质、从业背景知识等。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 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 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 委 组 织 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扶余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2U4OGFiNmZiZDBlOTAwMzg5NTVhNWIxZTdmMzUifQ=="/>
  </w:docVars>
  <w:rsids>
    <w:rsidRoot w:val="00000000"/>
    <w:rsid w:val="1DAF71D4"/>
    <w:rsid w:val="397C6CFA"/>
    <w:rsid w:val="3F2B1823"/>
    <w:rsid w:val="450C7636"/>
    <w:rsid w:val="5572737D"/>
    <w:rsid w:val="55FD1318"/>
    <w:rsid w:val="5A156233"/>
    <w:rsid w:val="765158E9"/>
    <w:rsid w:val="7F5A3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丶Gentry</cp:lastModifiedBy>
  <cp:lastPrinted>2024-05-20T08:05:15Z</cp:lastPrinted>
  <dcterms:modified xsi:type="dcterms:W3CDTF">2024-05-20T08:05:17Z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5AABEBF6F42749D1BEDA7023BFD3E5BD_13</vt:lpwstr>
  </property>
</Properties>
</file>