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 w:bidi="ar"/>
        </w:rPr>
        <w:t>西昌学院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bidi="ar"/>
        </w:rPr>
        <w:t>2024年公开选调工作人员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bidi="ar"/>
        </w:rPr>
        <w:t>岗位和条件要求一览表</w:t>
      </w:r>
    </w:p>
    <w:tbl>
      <w:tblPr>
        <w:tblStyle w:val="3"/>
        <w:tblpPr w:leftFromText="180" w:rightFromText="180" w:vertAnchor="text" w:horzAnchor="page" w:tblpX="1426" w:tblpY="557"/>
        <w:tblOverlap w:val="never"/>
        <w:tblW w:w="138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22"/>
        <w:gridCol w:w="936"/>
        <w:gridCol w:w="908"/>
        <w:gridCol w:w="756"/>
        <w:gridCol w:w="1483"/>
        <w:gridCol w:w="740"/>
        <w:gridCol w:w="1201"/>
        <w:gridCol w:w="3207"/>
        <w:gridCol w:w="1573"/>
        <w:gridCol w:w="1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公开选调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单位全称（类别）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选调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岗位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岗位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类别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岗位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编码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选调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名额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选调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对象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年龄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学历学位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专业条件要求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其他要求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18"/>
                <w:lang w:val="en-US" w:eastAsia="zh-CN"/>
              </w:rPr>
              <w:t>西昌学院（公益二类）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（十级及以下）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10701001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18"/>
                <w:lang w:val="en-US" w:eastAsia="zh-CN"/>
              </w:rPr>
              <w:t>川渝两地机关事业单位在编在岗人员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1988年5月29日及以后出生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语言文学专业、外国语言学及应用语言学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（英语方向）、翻译学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（英语方向）。学科教学（英语）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、英语口译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、英语笔译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本专业相关工作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，愿意到高校从事本专业相关教学工作。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（十级及以下）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10702002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1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1988年5月29日及以后出生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电气工程（一级学科）、控制科学与工程（一级学科）。电子信息（一级学科）、能源动力（一级学科）</w:t>
            </w: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auto"/>
                <w:sz w:val="22"/>
                <w:szCs w:val="20"/>
                <w:lang w:val="en-US" w:eastAsia="zh-CN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527111C"/>
    <w:rsid w:val="1527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autoRedefine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5">
    <w:name w:val="图表目录1"/>
    <w:basedOn w:val="1"/>
    <w:next w:val="1"/>
    <w:autoRedefine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2024-05-20T02:12:00Z</dcterms:created>
  <dc:creator>Primadonna</dc:creator>
  <cp:lastModifiedBy>Primadonna</cp:lastModifiedBy>
  <dcterms:modified xsi:type="dcterms:W3CDTF">2024-05-20T02:12:53Z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27DAA29620C945B9867B945E003B564A_11</vt:lpwstr>
  </property>
</Properties>
</file>