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26" w:tblpY="557"/>
        <w:tblOverlap w:val="never"/>
        <w:tblW w:w="14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649"/>
        <w:gridCol w:w="888"/>
        <w:gridCol w:w="1109"/>
        <w:gridCol w:w="780"/>
        <w:gridCol w:w="1529"/>
        <w:gridCol w:w="763"/>
        <w:gridCol w:w="1239"/>
        <w:gridCol w:w="2644"/>
        <w:gridCol w:w="1897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30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四川省大数据中心及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0"/>
                <w:szCs w:val="40"/>
                <w:u w:val="none"/>
                <w:lang w:eastAsia="zh-CN" w:bidi="ar"/>
              </w:rPr>
              <w:t>所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属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0"/>
                <w:szCs w:val="40"/>
                <w:u w:val="none"/>
                <w:lang w:eastAsia="zh-CN" w:bidi="ar"/>
              </w:rPr>
              <w:t>事业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单位202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年公开选调工作人员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岗位和条件要求一览表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公开选调</w:t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单位全称（类别）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选调</w:t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岗位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岗位</w:t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类别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岗位</w:t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编码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选调</w:t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名额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选调</w:t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对象</w:t>
            </w:r>
          </w:p>
        </w:tc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年龄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学历学位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专业条件要求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其他要求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bidi="ar"/>
              </w:rPr>
              <w:t>四川省大数据中心（公益一类）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综合</w:t>
            </w:r>
          </w:p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管理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管理七级及以下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04301001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both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川渝两地数据部门（单位）工作人员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1990年1月1日及以后出生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研究生及以上学历并取得硕士及以上学位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不限</w:t>
            </w:r>
          </w:p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专业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从事综合管理工作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2年以上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u w:val="none"/>
                <w:lang w:bidi="ar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政策法规研究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专技八级及以下或管理七级及以下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04301002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both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川渝两地党政机关、事业单位工作人员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1990年1月1日及以后出生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研究生及以上学历并取得硕士及以上学位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法学、法律专业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both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从事政策法规工作2年以上，且大学本科所学专业亦为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法学、法律专业。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u w:val="none"/>
                <w:lang w:bidi="ar"/>
              </w:rPr>
              <w:t>四川省大数据中心（公益一类）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数字经济统计研究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专技八级及以下或管理七级及以下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u w:val="none"/>
                <w:lang w:val="en-US" w:eastAsia="zh-CN"/>
              </w:rPr>
              <w:t>04301003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川渝两地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统计、数据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部门（单位）工作人员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1985年1月1日及以后出生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大学本科及以上学历并取得学士及以上学位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不限</w:t>
            </w:r>
          </w:p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专业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从事经济统计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3年以上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四川省大数据技术服务中心（公益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类）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主办</w:t>
            </w:r>
          </w:p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会计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  <w:t>专技八级及以下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u w:val="none"/>
                <w:lang w:val="en-US" w:eastAsia="zh-CN"/>
              </w:rPr>
              <w:t>04302004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川渝两地党政机关、事业单位工作人员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1985年1月1日及以后出生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大学本科及以上学历并取得学士及以上学位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会计学、财务管理专业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从事财会工作3年以上，取得助理会计师以上职称，具备从事会计工作所需要的专业能力，能够胜任主办会计岗位职责。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ind w:left="520" w:hanging="520" w:hanging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Cs/>
          <w:color w:val="auto"/>
          <w:w w:val="93"/>
          <w:sz w:val="28"/>
          <w:szCs w:val="28"/>
          <w:u w:val="none"/>
        </w:rPr>
        <w:t>注：报考者本人有效学位证所载学位应与拟报考岗位的“学位”资格要求相符；报考者本人有效的毕业证所载学历和专业名称，应与拟报考岗位的“学历”和“专业条件要求”两栏分别相符。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20B3BB8"/>
    <w:rsid w:val="320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2024-05-20T08:55:00Z</dcterms:created>
  <dc:creator>Primadonna</dc:creator>
  <cp:lastModifiedBy>Primadonna</cp:lastModifiedBy>
  <dcterms:modified xsi:type="dcterms:W3CDTF">2024-05-20T08:55:12Z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4B51AC789EED4F1FB040526C3B165917_11</vt:lpwstr>
  </property>
</Properties>
</file>