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both"/>
        <w:textAlignment w:val="auto"/>
        <w:rPr>
          <w:rFonts w:hint="default" w:ascii="Times New Roman" w:hAnsi="Times New Roman" w:eastAsia="方正小标宋简体" w:cs="Times New Roman"/>
          <w:bCs/>
          <w:color w:val="auto"/>
          <w:w w:val="98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auto"/>
          <w:w w:val="98"/>
          <w:kern w:val="0"/>
          <w:sz w:val="36"/>
          <w:szCs w:val="36"/>
          <w:lang w:val="en-US" w:eastAsia="zh-CN" w:bidi="ar"/>
        </w:rPr>
        <w:t>四川省中医药管理局</w:t>
      </w:r>
      <w:r>
        <w:rPr>
          <w:rFonts w:hint="eastAsia" w:eastAsia="方正小标宋简体" w:cs="Times New Roman"/>
          <w:bCs/>
          <w:color w:val="auto"/>
          <w:w w:val="98"/>
          <w:kern w:val="0"/>
          <w:sz w:val="36"/>
          <w:szCs w:val="36"/>
          <w:lang w:val="en-US" w:eastAsia="zh-CN" w:bidi="ar"/>
        </w:rPr>
        <w:t>所</w:t>
      </w:r>
      <w:r>
        <w:rPr>
          <w:rFonts w:hint="default" w:ascii="Times New Roman" w:hAnsi="Times New Roman" w:eastAsia="方正小标宋简体" w:cs="Times New Roman"/>
          <w:bCs/>
          <w:color w:val="auto"/>
          <w:w w:val="98"/>
          <w:kern w:val="0"/>
          <w:sz w:val="36"/>
          <w:szCs w:val="36"/>
          <w:lang w:val="en-US" w:eastAsia="zh-CN" w:bidi="ar"/>
        </w:rPr>
        <w:t>属事业单位2024年公开选调工作人员岗位和条件要求一览表</w:t>
      </w:r>
    </w:p>
    <w:tbl>
      <w:tblPr>
        <w:tblStyle w:val="4"/>
        <w:tblpPr w:leftFromText="180" w:rightFromText="180" w:vertAnchor="text" w:horzAnchor="page" w:tblpXSpec="center" w:tblpY="557"/>
        <w:tblOverlap w:val="never"/>
        <w:tblW w:w="52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39"/>
        <w:gridCol w:w="599"/>
        <w:gridCol w:w="527"/>
        <w:gridCol w:w="498"/>
        <w:gridCol w:w="1217"/>
        <w:gridCol w:w="1334"/>
        <w:gridCol w:w="955"/>
        <w:gridCol w:w="1150"/>
        <w:gridCol w:w="2270"/>
        <w:gridCol w:w="3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公开选调单位全称（类别）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对象</w:t>
            </w:r>
          </w:p>
        </w:tc>
        <w:tc>
          <w:tcPr>
            <w:tcW w:w="8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专业条件要求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其他要求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四川省中医药科学院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（公益一类）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基建管理岗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03401001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川渝两地各级党政群机关公务员、参照公务员法管理人员；川渝两地各级各类型事业单位在编在岗人员；中央在川渝两地单位（包括垂直管理单位、派出单位等）在编在岗机关事业单位人员。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45周岁及以下（1978年5月29日及以后出生）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大学以上学历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土木工程（一级学科）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具备基建管理岗位相关中级以上专业技术职务任职资格。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1.熟练掌握offic</w:t>
            </w: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等常用办公软件，以及CAD、天正等绘图软件。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.身体健康，思想品质好，有责任心，沟通能力强，具有团队协作能力。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.因需常驻工地现场，更适合男性报考。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.需经常加班。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人才管理服务岗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03401002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45周岁及以下（1978年5月29日及以后出生）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大学以上学历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（含预备党员）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2.具有3年以上县级以上单位从事组织人事相关工作的经历。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需经常加班。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文化宣传岗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0340100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45周岁及以下（1978年5月29日及以后出生）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硕士研究生以上学历，并取得相应学位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中医学、中药学、中西医结合、中国语言文学、新闻传播学、公共管理学、工商管理学，以上为一级学科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（含预备党员）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.具有3年以上县级以上单位从事文秘宣传相关工作的经历。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扎实的文字功底和文秘工作经验，新媒体采编制作等技能，政策理论水平好，知识储备丰富，沟通协调能力强，工作负责敬业，学习创新能力强，具备保密意识，能适应高强度工作节奏，能满足经常性加班需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科技产业平台管理岗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0340100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35周岁及以下（1988年5月29日及以后出生）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硕士研究生以上学历，并取得相应学位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中药学（一级学科）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1.具备成果推广运营、转移转化等相关工作经历。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2.具备中级以上专业技术职务任职资格。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熟悉中医药科技产业、市场推广与策划等政策法规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需经常加班。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0340100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45周岁及以下（1978年5月29日及以后出生）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大学以上学历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经济学、中医学、中药学、法学，以上为一级学科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（含预备党员）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2.熟悉经济工作，具有3年以上行政事业单位经济、或招商引资、或资产运营、医药卫生等管理工作经历。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42B697E"/>
    <w:rsid w:val="042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Primadonna</dc:creator>
  <cp:lastModifiedBy>Primadonna</cp:lastModifiedBy>
  <dcterms:modified xsi:type="dcterms:W3CDTF">2024-05-20T07:35:02Z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46A53D7E619344CBB866B958646561DA_11</vt:lpwstr>
  </property>
</Properties>
</file>