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default" w:ascii="Times New Roman" w:hAnsi="Times New Roman" w:eastAsia="仿宋" w:cs="Times New Roman"/>
          <w:b/>
          <w:bCs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bidi="ar"/>
        </w:rPr>
        <w:t>附件</w:t>
      </w:r>
    </w:p>
    <w:p/>
    <w:tbl>
      <w:tblPr>
        <w:tblStyle w:val="3"/>
        <w:tblpPr w:leftFromText="180" w:rightFromText="180" w:vertAnchor="text" w:horzAnchor="page" w:tblpX="1426" w:tblpY="557"/>
        <w:tblOverlap w:val="never"/>
        <w:tblW w:w="14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49"/>
        <w:gridCol w:w="1182"/>
        <w:gridCol w:w="815"/>
        <w:gridCol w:w="780"/>
        <w:gridCol w:w="1529"/>
        <w:gridCol w:w="1301"/>
        <w:gridCol w:w="1680"/>
        <w:gridCol w:w="1815"/>
        <w:gridCol w:w="2385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30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四川省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eastAsia="zh-CN" w:bidi="ar"/>
              </w:rPr>
              <w:t>信访局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年公开选调工作人员岗位和条件要求一览表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公开选调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单位全称（类别）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对象</w:t>
            </w:r>
          </w:p>
        </w:tc>
        <w:tc>
          <w:tcPr>
            <w:tcW w:w="8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人民群众来访接待中心（省信访局信息中心）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（公益一类）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设备运行维护管理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专业技术岗位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（十一级及以下）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04801001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川渝两地各级机关事业单位在编在岗且符合《四川省事业单位工作人员流（调）动试行办法》相关规定的工作人员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1988年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日及以后出生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国民教育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本科及以上学历学位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本科：电子信息工程（080701）、通信工程（080703）；研究生：信息与通信工程（0801）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具有2年以上机关事业单位工作经历，历年年度考核均为称职（合格）及以上等次，在现单位工作满1年，并符合《四川省事业单位工作人员流（调）动试行办法》等有关规定。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（见正文）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3E73594"/>
    <w:rsid w:val="23E7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2024-05-20T10:15:00Z</dcterms:created>
  <dc:creator>Primadonna</dc:creator>
  <cp:lastModifiedBy>Primadonna</cp:lastModifiedBy>
  <dcterms:modified xsi:type="dcterms:W3CDTF">2024-05-20T10:15:55Z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0C309726DB4B4B259BC1B1C74B8E0B44_11</vt:lpwstr>
  </property>
</Properties>
</file>