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本溪湖经济开发区管委会招聘岗位及岗位职责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本溪湖经济开发区管委会本次聘任涉及3个内设机构，4个岗位。其中，党政办：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财务、人事、督查岗1人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；经济发展服务局：发改、工信、科技岗1人；投资促进局：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招商引资岗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2人；具体岗位职责、岗位设置如下：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一、党政办公室岗位设置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967" w:type="dxa"/>
            <w:tcBorders>
              <w:top w:val="single" w:color="auto" w:sz="4" w:space="0"/>
            </w:tcBorders>
          </w:tcPr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财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务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人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事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督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查</w:t>
            </w:r>
          </w:p>
          <w:p>
            <w:pPr>
              <w:pStyle w:val="6"/>
              <w:spacing w:before="1"/>
              <w:ind w:left="296"/>
              <w:rPr>
                <w:rFonts w:hint="default" w:eastAsia="宋体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</w:tcBorders>
            <w:vAlign w:val="top"/>
          </w:tcPr>
          <w:p>
            <w:pPr>
              <w:pStyle w:val="6"/>
              <w:numPr>
                <w:ilvl w:val="0"/>
                <w:numId w:val="1"/>
              </w:numPr>
              <w:spacing w:before="66"/>
              <w:ind w:left="635" w:leftChars="0" w:hanging="425" w:firstLineChars="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z w:val="21"/>
                <w:lang w:val="en-US" w:eastAsia="zh-CN"/>
              </w:rPr>
              <w:t>承担开发区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机构编制、干部管理、人员考察 、聘用工作；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负责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开发区内部人员考核、绩效管理、薪酬福利管理、员工关系管理等工作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开展开发区各项决定事项、重点工作、领导交办工作的督查、             督导、落实执行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开展财务管理、财务核算、财务报销工作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19"/>
                <w:tab w:val="left" w:pos="520"/>
              </w:tabs>
              <w:spacing w:before="40"/>
              <w:ind w:left="635" w:leftChars="0" w:hanging="425" w:firstLineChars="0"/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编制开发区年度预算方案，分析预算执行情况并适时调整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ind w:left="635" w:leftChars="0" w:hanging="425" w:firstLineChars="0"/>
              <w:rPr>
                <w:rFonts w:hint="eastAsia"/>
                <w:color w:val="423F3D"/>
                <w:sz w:val="21"/>
                <w:lang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ind w:firstLine="210" w:firstLineChars="100"/>
              <w:rPr>
                <w:rFonts w:hint="default"/>
                <w:color w:val="423F3D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8233" w:type="dxa"/>
            <w:gridSpan w:val="3"/>
          </w:tcPr>
          <w:p>
            <w:pPr>
              <w:pStyle w:val="6"/>
              <w:spacing w:before="18"/>
              <w:ind w:left="131" w:leftChars="0" w:firstLine="362" w:firstLineChars="200"/>
              <w:rPr>
                <w:rFonts w:hint="eastAsia"/>
                <w:color w:val="44413F"/>
                <w:sz w:val="21"/>
                <w:lang w:val="en-US" w:eastAsia="zh-CN"/>
              </w:rPr>
            </w:pPr>
            <w:r>
              <w:rPr>
                <w:color w:val="44413F"/>
                <w:spacing w:val="-9"/>
                <w:w w:val="95"/>
                <w:sz w:val="21"/>
                <w:lang w:eastAsia="zh-CN"/>
              </w:rPr>
              <w:t>党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政办公室除完成上述工作外， 需与对口部门进行工作对接， 包括： 区纪委监委机关（ 区委巡察办）、区委办公室、区政府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办公室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区社会工作部、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区委组织部 、区委宣传部、区委统战部、区委政法委 、区委编办、区信访局、区人社局、区财政局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区机关事务局等。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3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413D3D"/>
          <w:lang w:eastAsia="zh-CN"/>
        </w:rPr>
      </w:pPr>
      <w:r>
        <w:rPr>
          <w:rFonts w:hint="eastAsia" w:ascii="仿宋" w:hAnsi="仿宋" w:eastAsia="仿宋" w:cs="仿宋"/>
          <w:b/>
          <w:bCs/>
          <w:color w:val="413D3D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经济</w:t>
      </w:r>
      <w:r>
        <w:rPr>
          <w:rFonts w:hint="eastAsia" w:ascii="仿宋" w:hAnsi="仿宋" w:eastAsia="仿宋" w:cs="仿宋"/>
          <w:b/>
          <w:bCs/>
          <w:color w:val="413D3D"/>
          <w:lang w:val="en-US" w:eastAsia="zh-CN"/>
        </w:rPr>
        <w:t>发展服务</w:t>
      </w:r>
      <w:r>
        <w:rPr>
          <w:rFonts w:hint="eastAsia" w:ascii="仿宋" w:hAnsi="仿宋" w:eastAsia="仿宋" w:cs="仿宋"/>
          <w:b/>
          <w:bCs/>
          <w:color w:val="413D3D"/>
          <w:lang w:eastAsia="zh-CN"/>
        </w:rPr>
        <w:t>局岗位设置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3"/>
        <w:textAlignment w:val="auto"/>
        <w:rPr>
          <w:rFonts w:hint="eastAsia" w:ascii="仿宋" w:hAnsi="仿宋" w:eastAsia="仿宋" w:cs="仿宋"/>
          <w:b/>
          <w:bCs/>
          <w:color w:val="413D3D"/>
          <w:lang w:eastAsia="zh-CN"/>
        </w:rPr>
      </w:pP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0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8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发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改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工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信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、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科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技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拟订开发区经济发展规划与产业政策并组织实施；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制定开发区产业发展规划，编制产业发展目录；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制定重大项目投资规划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承担僵尸企业处置 、闲置资产盘活工作；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推动开发区大数据发展、军民融合发展 、中小企业高质量发展， 承担小巨人、专精特新企业的培育和服务工作；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组织开发区经济数据的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统计、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分析 、上报工作，发现并组织解决经济运行中的重大问题；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制定企业服务工作机制 ，建设企业服务体系；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与企业的日常联系走访工作，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协助解决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企业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运行发展中的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问题；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承担开发区营商环境建设工作；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承担项目管家的协调管理工作；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2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241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241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34" w:line="261" w:lineRule="exact"/>
              <w:ind w:left="109"/>
              <w:rPr>
                <w:rFonts w:hint="default"/>
                <w:sz w:val="21"/>
                <w:lang w:val="en-US" w:eastAsia="zh-CN"/>
              </w:rPr>
            </w:pPr>
          </w:p>
          <w:p>
            <w:pPr>
              <w:pStyle w:val="6"/>
              <w:spacing w:before="34" w:line="261" w:lineRule="exact"/>
              <w:ind w:left="109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</w:p>
          <w:p>
            <w:pPr>
              <w:pStyle w:val="6"/>
              <w:ind w:left="41"/>
              <w:jc w:val="center"/>
              <w:rPr>
                <w:rFonts w:hint="default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6" w:hRule="atLeast"/>
        </w:trPr>
        <w:tc>
          <w:tcPr>
            <w:tcW w:w="8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ind w:left="41"/>
              <w:jc w:val="left"/>
              <w:rPr>
                <w:rFonts w:hint="eastAsia" w:ascii="Times New Roman"/>
                <w:color w:val="444241"/>
                <w:w w:val="87"/>
                <w:sz w:val="20"/>
                <w:lang w:val="en-US" w:eastAsia="zh-CN"/>
              </w:rPr>
            </w:pPr>
            <w:r>
              <w:rPr>
                <w:rFonts w:hint="eastAsia"/>
                <w:color w:val="3F3D3B"/>
                <w:w w:val="85"/>
                <w:sz w:val="21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color w:val="44413F"/>
                <w:spacing w:val="-3"/>
                <w:w w:val="95"/>
                <w:sz w:val="21"/>
                <w:lang w:val="en-US" w:eastAsia="zh-CN"/>
              </w:rPr>
              <w:t>经济发展服务局除完成上述工作外，需与上级对口部门进行工作对接，包括： 区发改局、区工信局、区科技局、区应急局、区统计局、区税务分局、区环保局、区国土局、区住建局、区营商局等</w:t>
            </w:r>
            <w:r>
              <w:rPr>
                <w:rFonts w:hint="eastAsia" w:cs="Times New Roman"/>
                <w:color w:val="44413F"/>
                <w:spacing w:val="-3"/>
                <w:w w:val="95"/>
                <w:sz w:val="21"/>
                <w:lang w:val="en-US" w:eastAsia="zh-CN"/>
              </w:rPr>
              <w:t>。</w:t>
            </w:r>
          </w:p>
        </w:tc>
      </w:tr>
    </w:tbl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pStyle w:val="2"/>
        <w:spacing w:before="33"/>
        <w:rPr>
          <w:color w:val="413D3D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三、投资促进局岗位设置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7"/>
        <w:tblW w:w="8233" w:type="dxa"/>
        <w:tblInd w:w="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6610"/>
        <w:gridCol w:w="6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37"/>
              <w:ind w:left="292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0"/>
                <w:sz w:val="21"/>
              </w:rPr>
              <w:t>岗位</w:t>
            </w:r>
          </w:p>
          <w:p>
            <w:pPr>
              <w:pStyle w:val="6"/>
              <w:spacing w:before="48" w:line="247" w:lineRule="exact"/>
              <w:ind w:left="283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名称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74"/>
              <w:ind w:left="2845" w:right="2875"/>
              <w:jc w:val="center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岗位职</w:t>
            </w:r>
            <w:r>
              <w:rPr>
                <w:rFonts w:hint="eastAsia"/>
                <w:b/>
                <w:bCs/>
                <w:color w:val="2F2D2B"/>
                <w:w w:val="95"/>
                <w:sz w:val="21"/>
                <w:lang w:eastAsia="zh-CN"/>
              </w:rPr>
              <w:t>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2F2D2B"/>
                <w:w w:val="95"/>
                <w:sz w:val="21"/>
              </w:rPr>
              <w:t>岗位</w:t>
            </w:r>
          </w:p>
          <w:p>
            <w:pPr>
              <w:pStyle w:val="6"/>
              <w:spacing w:before="34"/>
              <w:ind w:left="126"/>
              <w:rPr>
                <w:b/>
                <w:bCs/>
                <w:sz w:val="21"/>
              </w:rPr>
            </w:pPr>
            <w:r>
              <w:rPr>
                <w:b/>
                <w:bCs/>
                <w:color w:val="444241"/>
                <w:w w:val="95"/>
                <w:sz w:val="21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1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rPr>
                <w:rFonts w:hint="eastAsia"/>
                <w:color w:val="444241"/>
                <w:sz w:val="21"/>
                <w:lang w:val="en-US" w:eastAsia="zh-CN"/>
              </w:rPr>
            </w:pP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招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商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引</w:t>
            </w:r>
          </w:p>
          <w:p>
            <w:pPr>
              <w:pStyle w:val="6"/>
              <w:spacing w:before="1"/>
              <w:ind w:left="296"/>
              <w:rPr>
                <w:rFonts w:hint="eastAsia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资</w:t>
            </w:r>
          </w:p>
          <w:p>
            <w:pPr>
              <w:pStyle w:val="6"/>
              <w:spacing w:before="1"/>
              <w:ind w:left="296"/>
              <w:rPr>
                <w:rFonts w:hint="default"/>
                <w:color w:val="444241"/>
                <w:sz w:val="21"/>
                <w:lang w:val="en-US" w:eastAsia="zh-CN"/>
              </w:rPr>
            </w:pPr>
            <w:r>
              <w:rPr>
                <w:rFonts w:hint="eastAsia"/>
                <w:color w:val="444241"/>
                <w:sz w:val="21"/>
                <w:lang w:val="en-US" w:eastAsia="zh-CN"/>
              </w:rPr>
              <w:t>岗</w:t>
            </w:r>
          </w:p>
        </w:tc>
        <w:tc>
          <w:tcPr>
            <w:tcW w:w="6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 w:line="261" w:lineRule="exact"/>
              <w:ind w:left="109"/>
              <w:rPr>
                <w:rFonts w:hint="eastAsia"/>
                <w:color w:val="5E5B5B"/>
                <w:sz w:val="21"/>
                <w:lang w:eastAsia="zh-CN"/>
              </w:rPr>
            </w:pP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负责招商引资谋划工作，承办招商引资、项目推荐活动；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组织、参加各类招商活动，开展对外招商及宣传联络工作。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负责招商引资项目的统计验收，监督招商引资优惠政策的落实；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负责招商项目的沟通协调、跟踪服务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负责</w:t>
            </w: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编写上报相关工作信息和文字材料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；</w:t>
            </w:r>
          </w:p>
          <w:p>
            <w:pPr>
              <w:pStyle w:val="6"/>
              <w:numPr>
                <w:ilvl w:val="0"/>
                <w:numId w:val="3"/>
              </w:numPr>
              <w:ind w:left="635" w:leftChars="0" w:hanging="425" w:firstLineChars="0"/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</w:pPr>
            <w:r>
              <w:rPr>
                <w:rFonts w:hint="eastAsia" w:eastAsia="宋体" w:cs="Times New Roman"/>
                <w:color w:val="44413F"/>
                <w:sz w:val="21"/>
                <w:lang w:val="en-US" w:eastAsia="zh-CN"/>
              </w:rPr>
              <w:t>完成领导交办的其他工作</w:t>
            </w:r>
            <w:r>
              <w:rPr>
                <w:rFonts w:hint="eastAsia" w:cs="Times New Roman"/>
                <w:color w:val="44413F"/>
                <w:sz w:val="21"/>
                <w:lang w:val="en-US" w:eastAsia="zh-CN"/>
              </w:rPr>
              <w:t>。</w:t>
            </w:r>
          </w:p>
          <w:p>
            <w:pPr>
              <w:pStyle w:val="6"/>
              <w:spacing w:before="66"/>
              <w:ind w:left="130" w:leftChars="0"/>
              <w:rPr>
                <w:rFonts w:hint="eastAsia"/>
                <w:color w:val="3F3B3B"/>
                <w:sz w:val="21"/>
                <w:lang w:val="en-US" w:eastAsia="zh-CN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</w:pPr>
          </w:p>
          <w:p>
            <w:pPr>
              <w:pStyle w:val="6"/>
              <w:spacing w:before="34"/>
              <w:ind w:left="131" w:leftChars="0"/>
              <w:rPr>
                <w:rFonts w:hint="default"/>
                <w:color w:val="44413F"/>
                <w:spacing w:val="-4"/>
                <w:sz w:val="21"/>
                <w:lang w:val="en-US" w:eastAsia="zh-CN"/>
              </w:rPr>
            </w:pPr>
            <w:r>
              <w:rPr>
                <w:rFonts w:hint="eastAsia"/>
                <w:color w:val="44413F"/>
                <w:spacing w:val="-4"/>
                <w:sz w:val="21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F9D0C8"/>
    <w:multiLevelType w:val="singleLevel"/>
    <w:tmpl w:val="93F9D0C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1">
    <w:nsid w:val="B8BB699A"/>
    <w:multiLevelType w:val="singleLevel"/>
    <w:tmpl w:val="B8BB699A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abstractNum w:abstractNumId="2">
    <w:nsid w:val="23BA212F"/>
    <w:multiLevelType w:val="singleLevel"/>
    <w:tmpl w:val="23BA212F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A52FE0"/>
    <w:rsid w:val="37B4409A"/>
    <w:rsid w:val="414E3BC8"/>
    <w:rsid w:val="44A51342"/>
    <w:rsid w:val="4B681E37"/>
    <w:rsid w:val="4B920A0A"/>
    <w:rsid w:val="4C33497B"/>
    <w:rsid w:val="55861133"/>
    <w:rsid w:val="67AA102D"/>
    <w:rsid w:val="69D837CC"/>
    <w:rsid w:val="77C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2023-11-23T05:33:00Z</dcterms:created>
  <dc:creator>L</dc:creator>
  <cp:lastModifiedBy>L</cp:lastModifiedBy>
  <dcterms:modified xsi:type="dcterms:W3CDTF">2024-05-22T01:36:49Z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