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eastAsia="黑体"/>
          <w:sz w:val="28"/>
          <w:szCs w:val="28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0"/>
          <w:szCs w:val="32"/>
          <w:lang w:eastAsia="zh-CN"/>
        </w:rPr>
        <w:t>市委台港澳办</w:t>
      </w:r>
      <w:r>
        <w:rPr>
          <w:rFonts w:hint="eastAsia" w:ascii="方正小标宋简体" w:eastAsia="方正小标宋简体"/>
          <w:sz w:val="40"/>
          <w:szCs w:val="32"/>
        </w:rPr>
        <w:t>下属事业单位202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32"/>
        </w:rPr>
        <w:t>年公开招聘岗位表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20"/>
        <w:gridCol w:w="1180"/>
        <w:gridCol w:w="2230"/>
        <w:gridCol w:w="800"/>
        <w:gridCol w:w="840"/>
        <w:gridCol w:w="2820"/>
        <w:gridCol w:w="2230"/>
        <w:gridCol w:w="2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4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类型及等级</w:t>
            </w:r>
          </w:p>
        </w:tc>
        <w:tc>
          <w:tcPr>
            <w:tcW w:w="223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8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8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2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5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莞台经济文化交流中心</w:t>
            </w:r>
          </w:p>
        </w:tc>
        <w:tc>
          <w:tcPr>
            <w:tcW w:w="11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专业技术岗十级</w:t>
            </w:r>
          </w:p>
        </w:tc>
        <w:tc>
          <w:tcPr>
            <w:tcW w:w="22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从事莞台经济文化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交流相关工作等。</w:t>
            </w:r>
          </w:p>
        </w:tc>
        <w:tc>
          <w:tcPr>
            <w:tcW w:w="8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</w:p>
        </w:tc>
        <w:tc>
          <w:tcPr>
            <w:tcW w:w="28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社会工作（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B030302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汉语言文学（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B050101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人力资源管理（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B120206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行政管理（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B120402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2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社会工作师（中级）、人力资源管理中级经济师</w:t>
            </w:r>
          </w:p>
        </w:tc>
        <w:tc>
          <w:tcPr>
            <w:tcW w:w="214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2年以上工作经历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03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ind w:firstLine="240" w:firstLineChars="1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备注：招聘岗位年龄、工作经历计算至报名首日。</w:t>
      </w:r>
    </w:p>
    <w:p>
      <w:pPr>
        <w:rPr>
          <w:rFonts w:hint="default" w:eastAsia="宋体"/>
          <w:lang w:val="en-US" w:eastAsia="zh-CN"/>
        </w:rPr>
      </w:pPr>
    </w:p>
    <w:p/>
    <w:sectPr>
      <w:footerReference r:id="rId3" w:type="even"/>
      <w:pgSz w:w="16838" w:h="11906" w:orient="landscape"/>
      <w:pgMar w:top="1091" w:right="962" w:bottom="68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3B39"/>
    <w:rsid w:val="5616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2024-05-27T01:03:00Z</dcterms:created>
  <dc:creator>微信用户</dc:creator>
  <cp:lastModifiedBy>微信用户</cp:lastModifiedBy>
  <dcterms:modified xsi:type="dcterms:W3CDTF">2024-05-27T01:04:14Z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