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4</w:t>
      </w:r>
      <w:r>
        <w:rPr>
          <w:rFonts w:hint="eastAsia" w:ascii="仿宋" w:hAnsi="仿宋" w:eastAsia="仿宋" w:cs="宋体"/>
          <w:snapToGrid w:val="0"/>
          <w:color w:val="000000"/>
          <w:kern w:val="0"/>
          <w:sz w:val="32"/>
          <w:szCs w:val="32"/>
          <w:lang w:eastAsia="zh-CN"/>
        </w:rPr>
        <w:t>年贺州市直学校教师公开招聘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贺州市直学校</w:t>
      </w:r>
      <w:r>
        <w:rPr>
          <w:rFonts w:hint="eastAsia" w:ascii="仿宋" w:hAnsi="仿宋" w:eastAsia="仿宋" w:cs="宋体"/>
          <w:snapToGrid w:val="0"/>
          <w:color w:val="000000"/>
          <w:kern w:val="0"/>
          <w:sz w:val="32"/>
          <w:szCs w:val="32"/>
        </w:rPr>
        <w:t>统一的选拔性考试，从教师应有的职业素质、专业水平、教育教学能力等方面进</w:t>
      </w:r>
      <w:bookmarkStart w:id="1" w:name="_GoBack"/>
      <w:bookmarkEnd w:id="1"/>
      <w:r>
        <w:rPr>
          <w:rFonts w:hint="eastAsia" w:ascii="仿宋" w:hAnsi="仿宋" w:eastAsia="仿宋" w:cs="宋体"/>
          <w:snapToGrid w:val="0"/>
          <w:color w:val="000000"/>
          <w:kern w:val="0"/>
          <w:sz w:val="32"/>
          <w:szCs w:val="32"/>
        </w:rPr>
        <w:t>行全面考核，考试结果将作为</w:t>
      </w: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4</w:t>
      </w:r>
      <w:r>
        <w:rPr>
          <w:rFonts w:hint="eastAsia" w:ascii="仿宋" w:hAnsi="仿宋" w:eastAsia="仿宋" w:cs="宋体"/>
          <w:snapToGrid w:val="0"/>
          <w:color w:val="000000"/>
          <w:kern w:val="0"/>
          <w:sz w:val="32"/>
          <w:szCs w:val="32"/>
          <w:lang w:eastAsia="zh-CN"/>
        </w:rPr>
        <w:t>年贺州市直学校教师公开招聘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3DBF2967"/>
    <w:rsid w:val="559F3D9D"/>
    <w:rsid w:val="6A9D4717"/>
    <w:rsid w:val="72B2760D"/>
    <w:rsid w:val="7462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HXKJ39</cp:lastModifiedBy>
  <dcterms:modified xsi:type="dcterms:W3CDTF">2024-05-30T01:00:40Z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