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auto"/>
        <w:kinsoku/>
        <w:wordWrap/>
        <w:overflowPunct/>
        <w:topLinePunct w:val="0"/>
        <w:autoSpaceDE/>
        <w:autoSpaceDN/>
        <w:bidi w:val="0"/>
        <w:adjustRightInd w:val="0"/>
        <w:snapToGrid w:val="0"/>
        <w:spacing w:line="560" w:lineRule="exact"/>
        <w:ind w:left="0" w:leftChars="0" w:right="0"/>
        <w:jc w:val="both"/>
        <w:textAlignment w:val="auto"/>
        <w:rPr>
          <w:rFonts w:hint="eastAsia" w:ascii="黑体" w:hAnsi="黑体" w:eastAsia="黑体"/>
          <w:b w:val="0"/>
          <w:bCs/>
          <w:color w:val="auto"/>
          <w:sz w:val="32"/>
          <w:szCs w:val="32"/>
          <w:highlight w:val="none"/>
        </w:rPr>
      </w:pPr>
      <w:r>
        <w:rPr>
          <w:rFonts w:hint="eastAsia" w:ascii="黑体" w:hAnsi="黑体" w:eastAsia="黑体"/>
          <w:b w:val="0"/>
          <w:bCs/>
          <w:color w:val="auto"/>
          <w:sz w:val="32"/>
          <w:szCs w:val="32"/>
          <w:highlight w:val="none"/>
        </w:rPr>
        <w:t>附件2</w:t>
      </w:r>
    </w:p>
    <w:p>
      <w:pPr>
        <w:keepNext w:val="0"/>
        <w:keepLines w:val="0"/>
        <w:pageBreakBefore w:val="0"/>
        <w:shd w:val="clear" w:color="auto" w:fill="auto"/>
        <w:kinsoku/>
        <w:wordWrap/>
        <w:overflowPunct/>
        <w:topLinePunct w:val="0"/>
        <w:autoSpaceDE/>
        <w:autoSpaceDN/>
        <w:bidi w:val="0"/>
        <w:snapToGrid w:val="0"/>
        <w:spacing w:line="560" w:lineRule="exact"/>
        <w:ind w:left="0" w:leftChars="0" w:right="0"/>
        <w:jc w:val="center"/>
        <w:textAlignment w:val="auto"/>
        <w:rPr>
          <w:rFonts w:hint="eastAsia" w:ascii="方正小标宋_GBK" w:hAnsi="方正小标宋_GBK" w:eastAsia="方正小标宋_GBK" w:cs="方正小标宋_GBK"/>
          <w:b w:val="0"/>
          <w:bCs/>
          <w:color w:val="auto"/>
          <w:sz w:val="44"/>
          <w:szCs w:val="44"/>
          <w:highlight w:val="none"/>
        </w:rPr>
      </w:pPr>
    </w:p>
    <w:p>
      <w:pPr>
        <w:keepNext w:val="0"/>
        <w:keepLines w:val="0"/>
        <w:pageBreakBefore w:val="0"/>
        <w:shd w:val="clear" w:color="auto" w:fill="auto"/>
        <w:kinsoku/>
        <w:wordWrap/>
        <w:overflowPunct/>
        <w:topLinePunct w:val="0"/>
        <w:autoSpaceDE/>
        <w:autoSpaceDN/>
        <w:bidi w:val="0"/>
        <w:snapToGrid w:val="0"/>
        <w:spacing w:line="560" w:lineRule="exact"/>
        <w:ind w:left="0" w:leftChars="0" w:right="0"/>
        <w:jc w:val="center"/>
        <w:textAlignment w:val="auto"/>
        <w:rPr>
          <w:rFonts w:hint="eastAsia" w:ascii="方正小标宋_GBK" w:hAnsi="方正小标宋_GBK" w:eastAsia="方正小标宋_GBK" w:cs="方正小标宋_GBK"/>
          <w:b w:val="0"/>
          <w:bCs/>
          <w:color w:val="auto"/>
          <w:sz w:val="44"/>
          <w:szCs w:val="44"/>
          <w:highlight w:val="none"/>
        </w:rPr>
      </w:pPr>
      <w:bookmarkStart w:id="0" w:name="_GoBack"/>
      <w:r>
        <w:rPr>
          <w:rFonts w:hint="eastAsia" w:ascii="方正小标宋_GBK" w:hAnsi="方正小标宋_GBK" w:eastAsia="方正小标宋_GBK" w:cs="方正小标宋_GBK"/>
          <w:b w:val="0"/>
          <w:bCs/>
          <w:color w:val="auto"/>
          <w:sz w:val="44"/>
          <w:szCs w:val="44"/>
          <w:highlight w:val="none"/>
          <w:lang w:val="en-US" w:eastAsia="zh-CN"/>
        </w:rPr>
        <w:t>怀远县</w:t>
      </w:r>
      <w:r>
        <w:rPr>
          <w:rFonts w:hint="eastAsia" w:ascii="方正小标宋_GBK" w:hAnsi="方正小标宋_GBK" w:eastAsia="方正小标宋_GBK" w:cs="方正小标宋_GBK"/>
          <w:b w:val="0"/>
          <w:bCs/>
          <w:color w:val="auto"/>
          <w:sz w:val="44"/>
          <w:szCs w:val="44"/>
          <w:highlight w:val="none"/>
          <w:lang w:eastAsia="zh-CN"/>
        </w:rPr>
        <w:t>202</w:t>
      </w:r>
      <w:r>
        <w:rPr>
          <w:rFonts w:hint="eastAsia" w:ascii="方正小标宋_GBK" w:hAnsi="方正小标宋_GBK" w:eastAsia="方正小标宋_GBK" w:cs="方正小标宋_GBK"/>
          <w:b w:val="0"/>
          <w:bCs/>
          <w:color w:val="auto"/>
          <w:sz w:val="44"/>
          <w:szCs w:val="44"/>
          <w:highlight w:val="none"/>
          <w:lang w:val="en-US" w:eastAsia="zh-CN"/>
        </w:rPr>
        <w:t>4</w:t>
      </w:r>
      <w:r>
        <w:rPr>
          <w:rFonts w:hint="eastAsia" w:ascii="方正小标宋_GBK" w:hAnsi="方正小标宋_GBK" w:eastAsia="方正小标宋_GBK" w:cs="方正小标宋_GBK"/>
          <w:b w:val="0"/>
          <w:bCs/>
          <w:color w:val="auto"/>
          <w:sz w:val="44"/>
          <w:szCs w:val="44"/>
          <w:highlight w:val="none"/>
          <w:lang w:eastAsia="zh-CN"/>
        </w:rPr>
        <w:t>年</w:t>
      </w:r>
      <w:r>
        <w:rPr>
          <w:rFonts w:hint="eastAsia" w:ascii="方正小标宋_GBK" w:hAnsi="方正小标宋_GBK" w:eastAsia="方正小标宋_GBK" w:cs="方正小标宋_GBK"/>
          <w:b w:val="0"/>
          <w:bCs/>
          <w:color w:val="auto"/>
          <w:sz w:val="44"/>
          <w:szCs w:val="44"/>
          <w:highlight w:val="none"/>
        </w:rPr>
        <w:t>度事业单位公开招聘</w:t>
      </w:r>
    </w:p>
    <w:p>
      <w:pPr>
        <w:keepNext w:val="0"/>
        <w:keepLines w:val="0"/>
        <w:pageBreakBefore w:val="0"/>
        <w:shd w:val="clear" w:color="auto" w:fill="auto"/>
        <w:kinsoku/>
        <w:wordWrap/>
        <w:overflowPunct/>
        <w:topLinePunct w:val="0"/>
        <w:autoSpaceDE/>
        <w:autoSpaceDN/>
        <w:bidi w:val="0"/>
        <w:snapToGrid w:val="0"/>
        <w:spacing w:line="560" w:lineRule="exact"/>
        <w:ind w:left="0" w:leftChars="0" w:right="0"/>
        <w:jc w:val="center"/>
        <w:textAlignment w:val="auto"/>
        <w:rPr>
          <w:rFonts w:hint="eastAsia" w:ascii="方正小标宋_GBK" w:hAnsi="方正小标宋_GBK" w:eastAsia="方正小标宋_GBK" w:cs="方正小标宋_GBK"/>
          <w:b w:val="0"/>
          <w:bCs/>
          <w:color w:val="auto"/>
          <w:sz w:val="36"/>
          <w:szCs w:val="36"/>
          <w:highlight w:val="none"/>
        </w:rPr>
      </w:pPr>
      <w:r>
        <w:rPr>
          <w:rFonts w:hint="eastAsia" w:ascii="方正小标宋_GBK" w:hAnsi="方正小标宋_GBK" w:eastAsia="方正小标宋_GBK" w:cs="方正小标宋_GBK"/>
          <w:b w:val="0"/>
          <w:bCs/>
          <w:color w:val="auto"/>
          <w:sz w:val="44"/>
          <w:szCs w:val="44"/>
          <w:highlight w:val="none"/>
        </w:rPr>
        <w:t>有关问题的解答</w:t>
      </w:r>
    </w:p>
    <w:bookmarkEnd w:id="0"/>
    <w:p>
      <w:pPr>
        <w:keepNext w:val="0"/>
        <w:keepLines w:val="0"/>
        <w:pageBreakBefore w:val="0"/>
        <w:shd w:val="clear" w:color="auto" w:fill="auto"/>
        <w:kinsoku/>
        <w:wordWrap/>
        <w:overflowPunct/>
        <w:topLinePunct w:val="0"/>
        <w:autoSpaceDE/>
        <w:autoSpaceDN/>
        <w:bidi w:val="0"/>
        <w:snapToGrid w:val="0"/>
        <w:spacing w:line="560" w:lineRule="exact"/>
        <w:ind w:left="0" w:leftChars="0" w:right="0" w:firstLine="360" w:firstLineChars="200"/>
        <w:jc w:val="both"/>
        <w:textAlignment w:val="auto"/>
        <w:rPr>
          <w:rFonts w:hint="eastAsia" w:ascii="宋体" w:hAnsi="宋体"/>
          <w:b w:val="0"/>
          <w:bCs/>
          <w:color w:val="auto"/>
          <w:sz w:val="18"/>
          <w:szCs w:val="18"/>
          <w:highlight w:val="none"/>
        </w:rPr>
      </w:pP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rPr>
        <w:t>1.在读的全日制普通高校非应届毕业生能不能报考？</w:t>
      </w:r>
    </w:p>
    <w:p>
      <w:pPr>
        <w:snapToGrid w:val="0"/>
        <w:spacing w:line="560" w:lineRule="exact"/>
        <w:ind w:firstLine="640" w:firstLineChars="200"/>
        <w:rPr>
          <w:rFonts w:hint="eastAsia" w:ascii="仿宋" w:hAnsi="仿宋" w:eastAsia="仿宋" w:cs="仿宋"/>
          <w:bCs/>
          <w:color w:val="auto"/>
          <w:sz w:val="32"/>
          <w:szCs w:val="30"/>
          <w:highlight w:val="none"/>
        </w:rPr>
      </w:pPr>
      <w:r>
        <w:rPr>
          <w:rFonts w:hint="eastAsia" w:ascii="仿宋" w:hAnsi="仿宋" w:eastAsia="仿宋" w:cs="仿宋"/>
          <w:bCs/>
          <w:color w:val="auto"/>
          <w:sz w:val="32"/>
          <w:szCs w:val="30"/>
          <w:highlight w:val="none"/>
        </w:rPr>
        <w:t>答：在全日制普通高校就读的非202</w:t>
      </w:r>
      <w:r>
        <w:rPr>
          <w:rFonts w:hint="eastAsia" w:ascii="仿宋" w:hAnsi="仿宋" w:eastAsia="仿宋" w:cs="仿宋"/>
          <w:bCs/>
          <w:color w:val="auto"/>
          <w:sz w:val="32"/>
          <w:szCs w:val="30"/>
          <w:highlight w:val="none"/>
          <w:lang w:val="en-US" w:eastAsia="zh-CN"/>
        </w:rPr>
        <w:t>4</w:t>
      </w:r>
      <w:r>
        <w:rPr>
          <w:rFonts w:hint="eastAsia" w:ascii="仿宋" w:hAnsi="仿宋" w:eastAsia="仿宋" w:cs="仿宋"/>
          <w:bCs/>
          <w:color w:val="auto"/>
          <w:sz w:val="32"/>
          <w:szCs w:val="30"/>
          <w:highlight w:val="none"/>
        </w:rPr>
        <w:t>年应届毕业生不能报考，在全日制普通高校脱产就读的非202</w:t>
      </w:r>
      <w:r>
        <w:rPr>
          <w:rFonts w:hint="eastAsia" w:ascii="仿宋" w:hAnsi="仿宋" w:eastAsia="仿宋" w:cs="仿宋"/>
          <w:bCs/>
          <w:color w:val="auto"/>
          <w:sz w:val="32"/>
          <w:szCs w:val="30"/>
          <w:highlight w:val="none"/>
          <w:lang w:val="en-US" w:eastAsia="zh-CN"/>
        </w:rPr>
        <w:t>4</w:t>
      </w:r>
      <w:r>
        <w:rPr>
          <w:rFonts w:hint="eastAsia" w:ascii="仿宋" w:hAnsi="仿宋" w:eastAsia="仿宋" w:cs="仿宋"/>
          <w:bCs/>
          <w:color w:val="auto"/>
          <w:sz w:val="32"/>
          <w:szCs w:val="30"/>
          <w:highlight w:val="none"/>
        </w:rPr>
        <w:t>年应届毕业的专升本人员、研究生也不能以原已取得的学历、学位证书报考。</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rPr>
        <w:t>2.机关、事业单位正式在编人员能否报考？</w:t>
      </w:r>
    </w:p>
    <w:p>
      <w:pPr>
        <w:spacing w:beforeLines="0" w:afterLines="0" w:line="240" w:lineRule="auto"/>
        <w:ind w:firstLine="720" w:firstLineChars="225"/>
        <w:rPr>
          <w:rFonts w:hint="eastAsia" w:ascii="仿宋" w:hAnsi="仿宋" w:eastAsia="仿宋" w:cs="仿宋"/>
          <w:color w:val="auto"/>
          <w:kern w:val="0"/>
          <w:sz w:val="32"/>
          <w:szCs w:val="32"/>
          <w:highlight w:val="none"/>
        </w:rPr>
      </w:pPr>
      <w:r>
        <w:rPr>
          <w:rFonts w:hint="eastAsia" w:ascii="仿宋" w:hAnsi="仿宋" w:eastAsia="仿宋" w:cs="仿宋"/>
          <w:bCs/>
          <w:color w:val="auto"/>
          <w:sz w:val="32"/>
          <w:szCs w:val="30"/>
          <w:highlight w:val="none"/>
        </w:rPr>
        <w:t>答：凡符合招聘岗位报考资格条件的机关或事业单位正式在编人员可以报考（按照国家、省有关规定，尚在最低服务年限内的机关、事业单位正式在编工作人员不得报考），但须在资格复审时</w:t>
      </w:r>
      <w:r>
        <w:rPr>
          <w:rFonts w:hint="eastAsia" w:ascii="仿宋" w:hAnsi="仿宋" w:eastAsia="仿宋" w:cs="仿宋"/>
          <w:color w:val="auto"/>
          <w:kern w:val="0"/>
          <w:sz w:val="32"/>
          <w:szCs w:val="32"/>
          <w:highlight w:val="none"/>
        </w:rPr>
        <w:t>按人事管理权限提供所在单位</w:t>
      </w:r>
      <w:r>
        <w:rPr>
          <w:rFonts w:hint="eastAsia" w:ascii="仿宋" w:hAnsi="仿宋" w:eastAsia="仿宋" w:cs="仿宋"/>
          <w:color w:val="auto"/>
          <w:kern w:val="0"/>
          <w:sz w:val="32"/>
          <w:szCs w:val="32"/>
          <w:highlight w:val="none"/>
          <w:lang w:eastAsia="zh-CN"/>
        </w:rPr>
        <w:t>和</w:t>
      </w:r>
      <w:r>
        <w:rPr>
          <w:rFonts w:hint="eastAsia" w:ascii="仿宋" w:hAnsi="仿宋" w:eastAsia="仿宋" w:cs="仿宋"/>
          <w:color w:val="auto"/>
          <w:kern w:val="0"/>
          <w:sz w:val="32"/>
          <w:szCs w:val="32"/>
          <w:highlight w:val="none"/>
        </w:rPr>
        <w:t>主管部门同意报考的证明材料。</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3</w:t>
      </w:r>
      <w:r>
        <w:rPr>
          <w:rFonts w:hint="eastAsia" w:ascii="楷体" w:hAnsi="楷体" w:eastAsia="楷体" w:cs="楷体"/>
          <w:bCs/>
          <w:color w:val="auto"/>
          <w:kern w:val="0"/>
          <w:sz w:val="32"/>
          <w:szCs w:val="32"/>
          <w:highlight w:val="none"/>
        </w:rPr>
        <w:t>.招聘岗位中的“学历（学位）”要求如何界定?</w:t>
      </w:r>
    </w:p>
    <w:p>
      <w:pPr>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答：</w:t>
      </w:r>
      <w:r>
        <w:rPr>
          <w:rFonts w:hint="eastAsia" w:ascii="仿宋" w:hAnsi="仿宋" w:eastAsia="仿宋" w:cs="仿宋"/>
          <w:color w:val="auto"/>
          <w:sz w:val="32"/>
          <w:szCs w:val="32"/>
          <w:highlight w:val="none"/>
        </w:rPr>
        <w:t>“专科及以上”包括专科、本科、硕士研究生、博士研究生。</w:t>
      </w:r>
    </w:p>
    <w:p>
      <w:pPr>
        <w:ind w:firstLine="800" w:firstLineChars="2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“本科（学士）及以上”包括本科、硕士研究生、博士研究生（须同时具有相应层次的学位）。</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其他依次类推。</w:t>
      </w:r>
    </w:p>
    <w:p>
      <w:pPr>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 xml:space="preserve">    上述学历均必须为国家承认的学历。</w:t>
      </w:r>
    </w:p>
    <w:p>
      <w:pPr>
        <w:widowControl/>
        <w:spacing w:line="560" w:lineRule="exact"/>
        <w:ind w:firstLine="633" w:firstLineChars="198"/>
        <w:rPr>
          <w:rFonts w:hint="eastAsia" w:ascii="仿宋" w:hAnsi="仿宋" w:eastAsia="仿宋" w:cs="仿宋"/>
          <w:color w:val="auto"/>
          <w:kern w:val="0"/>
          <w:sz w:val="32"/>
          <w:szCs w:val="32"/>
          <w:highlight w:val="none"/>
          <w:lang w:bidi="ar"/>
        </w:rPr>
      </w:pPr>
      <w:r>
        <w:rPr>
          <w:rFonts w:hint="eastAsia" w:ascii="仿宋" w:hAnsi="仿宋" w:eastAsia="仿宋" w:cs="仿宋"/>
          <w:color w:val="auto"/>
          <w:kern w:val="0"/>
          <w:sz w:val="32"/>
          <w:szCs w:val="32"/>
          <w:highlight w:val="none"/>
          <w:lang w:bidi="ar"/>
        </w:rPr>
        <w:t>如要求提供学历学位的招聘岗位，学历与学位的专业</w:t>
      </w:r>
      <w:r>
        <w:rPr>
          <w:rFonts w:hint="eastAsia" w:ascii="仿宋" w:hAnsi="仿宋" w:eastAsia="仿宋" w:cs="仿宋"/>
          <w:color w:val="auto"/>
          <w:kern w:val="0"/>
          <w:sz w:val="32"/>
          <w:szCs w:val="32"/>
          <w:highlight w:val="none"/>
          <w:lang w:eastAsia="zh-CN" w:bidi="ar"/>
        </w:rPr>
        <w:t>方向</w:t>
      </w:r>
      <w:r>
        <w:rPr>
          <w:rFonts w:hint="eastAsia" w:ascii="仿宋" w:hAnsi="仿宋" w:eastAsia="仿宋" w:cs="仿宋"/>
          <w:color w:val="auto"/>
          <w:kern w:val="0"/>
          <w:sz w:val="32"/>
          <w:szCs w:val="32"/>
          <w:highlight w:val="none"/>
          <w:lang w:bidi="ar"/>
        </w:rPr>
        <w:t>须一致。</w:t>
      </w:r>
    </w:p>
    <w:p>
      <w:pPr>
        <w:widowControl/>
        <w:spacing w:line="560" w:lineRule="exact"/>
        <w:ind w:firstLine="633" w:firstLineChars="198"/>
        <w:rPr>
          <w:rFonts w:hint="eastAsia" w:ascii="Times New Roman" w:hAnsi="Times New Roman" w:eastAsia="楷体_GB2312" w:cs="Times New Roman"/>
          <w:b w:val="0"/>
          <w:bCs/>
          <w:color w:val="auto"/>
          <w:kern w:val="0"/>
          <w:sz w:val="32"/>
          <w:szCs w:val="32"/>
          <w:highlight w:val="none"/>
          <w:lang w:eastAsia="zh-CN"/>
        </w:rPr>
      </w:pPr>
      <w:r>
        <w:rPr>
          <w:rFonts w:hint="eastAsia" w:ascii="楷体" w:hAnsi="楷体" w:eastAsia="楷体" w:cs="楷体"/>
          <w:bCs/>
          <w:color w:val="auto"/>
          <w:kern w:val="0"/>
          <w:sz w:val="32"/>
          <w:szCs w:val="32"/>
          <w:highlight w:val="none"/>
          <w:lang w:val="en-US" w:eastAsia="zh-CN"/>
        </w:rPr>
        <w:t>4</w:t>
      </w:r>
      <w:r>
        <w:rPr>
          <w:rFonts w:hint="eastAsia" w:ascii="楷体" w:hAnsi="楷体" w:eastAsia="楷体" w:cs="楷体"/>
          <w:bCs/>
          <w:color w:val="auto"/>
          <w:kern w:val="0"/>
          <w:sz w:val="32"/>
          <w:szCs w:val="32"/>
          <w:highlight w:val="none"/>
        </w:rPr>
        <w:t>.非普通高等学历教育的其他国民教育形式的毕业生是否可以报考？</w:t>
      </w:r>
    </w:p>
    <w:p>
      <w:pPr>
        <w:spacing w:beforeLines="0" w:afterLines="0" w:line="560" w:lineRule="exact"/>
        <w:ind w:firstLine="0" w:firstLineChars="0"/>
        <w:rPr>
          <w:rFonts w:hint="eastAsia" w:ascii="楷体_GB2312" w:hAnsi="宋体" w:eastAsia="楷体_GB2312" w:cs="宋体"/>
          <w:b/>
          <w:color w:val="auto"/>
          <w:kern w:val="0"/>
          <w:sz w:val="32"/>
          <w:szCs w:val="32"/>
          <w:highlight w:val="none"/>
        </w:rPr>
      </w:pPr>
      <w:r>
        <w:rPr>
          <w:rFonts w:ascii="Times New Roman" w:hAnsi="Times New Roman" w:eastAsia="仿宋_GB2312" w:cs="Times New Roman"/>
          <w:color w:val="auto"/>
          <w:kern w:val="0"/>
          <w:sz w:val="32"/>
          <w:szCs w:val="32"/>
          <w:highlight w:val="none"/>
        </w:rPr>
        <w:t>　　</w:t>
      </w:r>
      <w:r>
        <w:rPr>
          <w:rFonts w:hint="eastAsia" w:ascii="仿宋" w:hAnsi="仿宋" w:eastAsia="仿宋" w:cs="仿宋"/>
          <w:color w:val="auto"/>
          <w:kern w:val="0"/>
          <w:sz w:val="32"/>
          <w:szCs w:val="32"/>
          <w:highlight w:val="none"/>
          <w:lang w:eastAsia="zh-CN"/>
        </w:rPr>
        <w:t>答：</w:t>
      </w:r>
      <w:r>
        <w:rPr>
          <w:rFonts w:hint="eastAsia" w:ascii="仿宋" w:hAnsi="仿宋" w:eastAsia="仿宋" w:cs="仿宋"/>
          <w:color w:val="auto"/>
          <w:kern w:val="0"/>
          <w:sz w:val="32"/>
          <w:szCs w:val="32"/>
          <w:highlight w:val="none"/>
        </w:rPr>
        <w:t>非普通高等学历教育的其他国民教育形式（自学考试、成人教育、网络教育、夜大、电大等）毕业生，符合</w:t>
      </w:r>
      <w:r>
        <w:rPr>
          <w:rFonts w:hint="eastAsia" w:ascii="仿宋" w:hAnsi="仿宋" w:eastAsia="仿宋" w:cs="仿宋"/>
          <w:color w:val="auto"/>
          <w:kern w:val="0"/>
          <w:sz w:val="32"/>
          <w:szCs w:val="32"/>
          <w:highlight w:val="none"/>
          <w:lang w:eastAsia="zh-CN"/>
        </w:rPr>
        <w:t>岗位</w:t>
      </w:r>
      <w:r>
        <w:rPr>
          <w:rFonts w:hint="eastAsia" w:ascii="仿宋" w:hAnsi="仿宋" w:eastAsia="仿宋" w:cs="仿宋"/>
          <w:color w:val="auto"/>
          <w:kern w:val="0"/>
          <w:sz w:val="32"/>
          <w:szCs w:val="32"/>
          <w:highlight w:val="none"/>
        </w:rPr>
        <w:t>要求的资格条件的，可以报考。</w:t>
      </w:r>
    </w:p>
    <w:p>
      <w:pPr>
        <w:widowControl/>
        <w:spacing w:line="560" w:lineRule="exact"/>
        <w:ind w:firstLine="633" w:firstLineChars="198"/>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5.</w:t>
      </w:r>
      <w:r>
        <w:rPr>
          <w:rFonts w:hint="eastAsia" w:ascii="楷体" w:hAnsi="楷体" w:eastAsia="楷体" w:cs="楷体"/>
          <w:bCs/>
          <w:color w:val="auto"/>
          <w:kern w:val="0"/>
          <w:sz w:val="32"/>
          <w:szCs w:val="32"/>
          <w:highlight w:val="none"/>
        </w:rPr>
        <w:t>可否凭党校学历证书报考？</w:t>
      </w:r>
    </w:p>
    <w:p>
      <w:pPr>
        <w:spacing w:beforeLines="0" w:afterLines="0" w:line="560" w:lineRule="exact"/>
        <w:ind w:firstLine="640" w:firstLineChars="200"/>
        <w:rPr>
          <w:rFonts w:hint="eastAsia" w:ascii="楷体_GB2312" w:hAnsi="宋体" w:eastAsia="楷体_GB2312" w:cs="宋体"/>
          <w:b/>
          <w:color w:val="auto"/>
          <w:kern w:val="0"/>
          <w:sz w:val="32"/>
          <w:szCs w:val="32"/>
          <w:highlight w:val="none"/>
          <w:lang w:val="en-US" w:eastAsia="zh-CN"/>
        </w:rPr>
      </w:pPr>
      <w:r>
        <w:rPr>
          <w:rFonts w:hint="eastAsia" w:ascii="仿宋" w:hAnsi="仿宋" w:eastAsia="仿宋" w:cs="仿宋"/>
          <w:color w:val="auto"/>
          <w:sz w:val="32"/>
          <w:szCs w:val="32"/>
          <w:highlight w:val="none"/>
          <w:lang w:eastAsia="zh-CN"/>
        </w:rPr>
        <w:t>答：</w:t>
      </w:r>
      <w:r>
        <w:rPr>
          <w:rFonts w:hint="eastAsia" w:ascii="仿宋" w:hAnsi="仿宋" w:eastAsia="仿宋" w:cs="仿宋"/>
          <w:color w:val="auto"/>
          <w:sz w:val="32"/>
          <w:szCs w:val="32"/>
          <w:highlight w:val="none"/>
        </w:rPr>
        <w:t>中央党校、省委党校学历可比照同等国民教育学历</w:t>
      </w:r>
      <w:r>
        <w:rPr>
          <w:rFonts w:hint="eastAsia" w:ascii="仿宋" w:hAnsi="仿宋" w:eastAsia="仿宋" w:cs="仿宋"/>
          <w:color w:val="auto"/>
          <w:sz w:val="32"/>
          <w:szCs w:val="32"/>
          <w:highlight w:val="none"/>
          <w:lang w:val="en"/>
        </w:rPr>
        <w:t>,</w:t>
      </w:r>
      <w:r>
        <w:rPr>
          <w:rFonts w:hint="eastAsia" w:ascii="仿宋" w:hAnsi="仿宋" w:eastAsia="仿宋" w:cs="仿宋"/>
          <w:color w:val="auto"/>
          <w:kern w:val="0"/>
          <w:sz w:val="32"/>
          <w:szCs w:val="32"/>
          <w:highlight w:val="none"/>
        </w:rPr>
        <w:t>符合</w:t>
      </w:r>
      <w:r>
        <w:rPr>
          <w:rFonts w:hint="eastAsia" w:ascii="仿宋" w:hAnsi="仿宋" w:eastAsia="仿宋" w:cs="仿宋"/>
          <w:color w:val="auto"/>
          <w:kern w:val="0"/>
          <w:sz w:val="32"/>
          <w:szCs w:val="32"/>
          <w:highlight w:val="none"/>
          <w:lang w:eastAsia="zh-CN"/>
        </w:rPr>
        <w:t>岗位</w:t>
      </w:r>
      <w:r>
        <w:rPr>
          <w:rFonts w:hint="eastAsia" w:ascii="仿宋" w:hAnsi="仿宋" w:eastAsia="仿宋" w:cs="仿宋"/>
          <w:color w:val="auto"/>
          <w:kern w:val="0"/>
          <w:sz w:val="32"/>
          <w:szCs w:val="32"/>
          <w:highlight w:val="none"/>
        </w:rPr>
        <w:t>要求的资格条件的，可以报考</w:t>
      </w:r>
      <w:r>
        <w:rPr>
          <w:rFonts w:hint="eastAsia" w:ascii="仿宋" w:hAnsi="仿宋" w:eastAsia="仿宋" w:cs="仿宋"/>
          <w:color w:val="auto"/>
          <w:sz w:val="32"/>
          <w:szCs w:val="32"/>
          <w:highlight w:val="none"/>
        </w:rPr>
        <w:t>。</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6</w:t>
      </w:r>
      <w:r>
        <w:rPr>
          <w:rFonts w:hint="eastAsia" w:ascii="楷体" w:hAnsi="楷体" w:eastAsia="楷体" w:cs="楷体"/>
          <w:bCs/>
          <w:color w:val="auto"/>
          <w:kern w:val="0"/>
          <w:sz w:val="32"/>
          <w:szCs w:val="32"/>
          <w:highlight w:val="none"/>
        </w:rPr>
        <w:t>.留学回国人员能否报考？</w:t>
      </w:r>
    </w:p>
    <w:p>
      <w:pPr>
        <w:snapToGrid w:val="0"/>
        <w:spacing w:line="560" w:lineRule="exact"/>
        <w:ind w:firstLine="640" w:firstLineChars="20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答：留学回国人员可以根据自身情况报考符合条件的岗位。报考时，除提供招聘公告及招聘岗位规定的材料外，应于资格复审时提供学位证书和教育部门学历认证材料</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lang w:val="en-US" w:eastAsia="zh-CN"/>
        </w:rPr>
        <w:t>2024年毕业的留学回国人员，资格复审时尚未取得学位和学历认证材料的，可凭有关证件材料等办理资格复审，提供学位证书和教育部门学历认证材料的截止时间为2024年12月31日</w:t>
      </w:r>
      <w:r>
        <w:rPr>
          <w:rFonts w:hint="eastAsia" w:ascii="仿宋" w:hAnsi="仿宋" w:eastAsia="仿宋" w:cs="仿宋"/>
          <w:bCs/>
          <w:color w:val="auto"/>
          <w:kern w:val="0"/>
          <w:sz w:val="32"/>
          <w:szCs w:val="32"/>
          <w:highlight w:val="none"/>
          <w:lang w:eastAsia="zh-CN"/>
        </w:rPr>
        <w:t>）</w:t>
      </w:r>
      <w:r>
        <w:rPr>
          <w:rFonts w:hint="eastAsia" w:ascii="仿宋" w:hAnsi="仿宋" w:eastAsia="仿宋" w:cs="仿宋"/>
          <w:bCs/>
          <w:color w:val="auto"/>
          <w:kern w:val="0"/>
          <w:sz w:val="32"/>
          <w:szCs w:val="32"/>
          <w:highlight w:val="none"/>
        </w:rPr>
        <w:t>。学历认证有关事项可登录教育部留学服务中心网站（http://www.cscse.edu.cn）查询。</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7</w:t>
      </w:r>
      <w:r>
        <w:rPr>
          <w:rFonts w:hint="eastAsia" w:ascii="楷体" w:hAnsi="楷体" w:eastAsia="楷体" w:cs="楷体"/>
          <w:bCs/>
          <w:color w:val="auto"/>
          <w:kern w:val="0"/>
          <w:sz w:val="32"/>
          <w:szCs w:val="32"/>
          <w:highlight w:val="none"/>
        </w:rPr>
        <w:t>.技工院校毕业生学历如何认定？</w:t>
      </w:r>
    </w:p>
    <w:p>
      <w:pPr>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kern w:val="0"/>
          <w:sz w:val="32"/>
          <w:szCs w:val="32"/>
          <w:highlight w:val="none"/>
        </w:rPr>
        <w:t>答：</w:t>
      </w:r>
      <w:r>
        <w:rPr>
          <w:rFonts w:hint="eastAsia" w:ascii="仿宋" w:hAnsi="仿宋" w:eastAsia="仿宋" w:cs="仿宋"/>
          <w:color w:val="auto"/>
          <w:sz w:val="32"/>
          <w:szCs w:val="32"/>
          <w:highlight w:val="none"/>
        </w:rPr>
        <w:t xml:space="preserve">在符合专业等其他岗位条件的前提下，技工院校预备技师（技师）班毕业生可报名应聘学历要求为大学本科的岗位，高级工班毕业生可报名应聘学历要求为大学专科的岗位。      </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8</w:t>
      </w:r>
      <w:r>
        <w:rPr>
          <w:rFonts w:hint="eastAsia" w:ascii="楷体" w:hAnsi="楷体" w:eastAsia="楷体" w:cs="楷体"/>
          <w:bCs/>
          <w:color w:val="auto"/>
          <w:kern w:val="0"/>
          <w:sz w:val="32"/>
          <w:szCs w:val="32"/>
          <w:highlight w:val="none"/>
        </w:rPr>
        <w:t>.是否可以凭专业（学业）证书、结业证书报考？</w:t>
      </w:r>
    </w:p>
    <w:p>
      <w:pPr>
        <w:snapToGrid w:val="0"/>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答：不能报考。</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9</w:t>
      </w:r>
      <w:r>
        <w:rPr>
          <w:rFonts w:hint="eastAsia" w:ascii="楷体" w:hAnsi="楷体" w:eastAsia="楷体" w:cs="楷体"/>
          <w:bCs/>
          <w:color w:val="auto"/>
          <w:kern w:val="0"/>
          <w:sz w:val="32"/>
          <w:szCs w:val="32"/>
          <w:highlight w:val="none"/>
        </w:rPr>
        <w:t>.取得双专科学历、双本科学历、双学士学位的人员能否分别按本科学历、研究生学历、硕士学位人员报考？</w:t>
      </w:r>
    </w:p>
    <w:p>
      <w:pPr>
        <w:tabs>
          <w:tab w:val="left" w:pos="900"/>
        </w:tabs>
        <w:snapToGrid w:val="0"/>
        <w:spacing w:line="560" w:lineRule="exact"/>
        <w:ind w:firstLine="640" w:firstLineChars="20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答：不能报考。</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10</w:t>
      </w:r>
      <w:r>
        <w:rPr>
          <w:rFonts w:hint="eastAsia" w:ascii="楷体" w:hAnsi="楷体" w:eastAsia="楷体" w:cs="楷体"/>
          <w:bCs/>
          <w:color w:val="auto"/>
          <w:kern w:val="0"/>
          <w:sz w:val="32"/>
          <w:szCs w:val="32"/>
          <w:highlight w:val="none"/>
        </w:rPr>
        <w:t>.考生、招聘单位对招聘岗位的专业要求如何把握？</w:t>
      </w:r>
    </w:p>
    <w:p>
      <w:pPr>
        <w:snapToGrid w:val="0"/>
        <w:spacing w:line="560" w:lineRule="exact"/>
        <w:ind w:firstLine="64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答：考生须如实填报自己所学专业，专业名称应与本人相应学历毕业证书所载专业一致，凡弄虚作假者，一经发现并查实后，取消其考试（聘用）资格。</w:t>
      </w:r>
    </w:p>
    <w:p>
      <w:pPr>
        <w:spacing w:beforeLines="0" w:afterLines="0" w:line="240" w:lineRule="auto"/>
        <w:ind w:firstLine="640"/>
        <w:rPr>
          <w:rFonts w:hint="eastAsia" w:ascii="仿宋_GB2312" w:hAnsi="宋体" w:eastAsia="仿宋_GB2312" w:cs="宋体"/>
          <w:color w:val="auto"/>
          <w:kern w:val="0"/>
          <w:sz w:val="32"/>
          <w:szCs w:val="32"/>
          <w:highlight w:val="none"/>
        </w:rPr>
      </w:pPr>
      <w:r>
        <w:rPr>
          <w:rFonts w:hint="eastAsia" w:ascii="仿宋" w:hAnsi="仿宋" w:eastAsia="仿宋" w:cs="仿宋"/>
          <w:bCs/>
          <w:color w:val="auto"/>
          <w:kern w:val="0"/>
          <w:sz w:val="32"/>
          <w:szCs w:val="32"/>
          <w:highlight w:val="none"/>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 w:hAnsi="仿宋" w:eastAsia="仿宋" w:cs="仿宋"/>
          <w:color w:val="auto"/>
          <w:sz w:val="32"/>
          <w:szCs w:val="32"/>
          <w:highlight w:val="none"/>
        </w:rPr>
        <w:t>请</w:t>
      </w:r>
      <w:r>
        <w:rPr>
          <w:rFonts w:hint="eastAsia" w:ascii="仿宋" w:hAnsi="仿宋" w:eastAsia="仿宋" w:cs="仿宋"/>
          <w:color w:val="auto"/>
          <w:sz w:val="32"/>
          <w:szCs w:val="32"/>
          <w:highlight w:val="none"/>
          <w:lang w:val="en-US" w:eastAsia="zh-CN"/>
        </w:rPr>
        <w:t>报考者</w:t>
      </w:r>
      <w:r>
        <w:rPr>
          <w:rFonts w:hint="eastAsia" w:ascii="仿宋" w:hAnsi="仿宋" w:eastAsia="仿宋" w:cs="仿宋"/>
          <w:color w:val="auto"/>
          <w:sz w:val="32"/>
          <w:szCs w:val="32"/>
          <w:highlight w:val="none"/>
        </w:rPr>
        <w:t>在报名时主动咨询并介绍情况，在报名的备注栏中注明主要课程、研究方向和学习内容等情况，</w:t>
      </w:r>
      <w:r>
        <w:rPr>
          <w:rFonts w:hint="eastAsia" w:ascii="仿宋" w:hAnsi="仿宋" w:eastAsia="仿宋" w:cs="仿宋"/>
          <w:color w:val="auto"/>
          <w:sz w:val="32"/>
          <w:szCs w:val="32"/>
          <w:highlight w:val="none"/>
          <w:lang w:eastAsia="zh-CN"/>
        </w:rPr>
        <w:t>招聘单位</w:t>
      </w:r>
      <w:r>
        <w:rPr>
          <w:rFonts w:hint="eastAsia" w:ascii="仿宋" w:hAnsi="仿宋" w:eastAsia="仿宋" w:cs="仿宋"/>
          <w:color w:val="auto"/>
          <w:sz w:val="32"/>
          <w:szCs w:val="32"/>
          <w:highlight w:val="none"/>
        </w:rPr>
        <w:t>将根据</w:t>
      </w:r>
      <w:r>
        <w:rPr>
          <w:rFonts w:hint="eastAsia" w:ascii="仿宋" w:hAnsi="仿宋" w:eastAsia="仿宋" w:cs="仿宋"/>
          <w:color w:val="auto"/>
          <w:sz w:val="32"/>
          <w:szCs w:val="32"/>
          <w:highlight w:val="none"/>
          <w:lang w:eastAsia="zh-CN"/>
        </w:rPr>
        <w:t>岗位</w:t>
      </w:r>
      <w:r>
        <w:rPr>
          <w:rFonts w:hint="eastAsia" w:ascii="仿宋" w:hAnsi="仿宋" w:eastAsia="仿宋" w:cs="仿宋"/>
          <w:color w:val="auto"/>
          <w:sz w:val="32"/>
          <w:szCs w:val="32"/>
          <w:highlight w:val="none"/>
        </w:rPr>
        <w:t>专业需求进行审核。</w:t>
      </w:r>
    </w:p>
    <w:p>
      <w:pPr>
        <w:snapToGrid w:val="0"/>
        <w:spacing w:line="560" w:lineRule="exact"/>
        <w:ind w:firstLine="640" w:firstLineChars="200"/>
        <w:rPr>
          <w:rFonts w:hint="eastAsia" w:ascii="楷体" w:hAnsi="楷体" w:eastAsia="楷体" w:cs="楷体"/>
          <w:b w:val="0"/>
          <w:bCs/>
          <w:color w:val="auto"/>
          <w:kern w:val="0"/>
          <w:sz w:val="32"/>
          <w:szCs w:val="32"/>
          <w:highlight w:val="none"/>
        </w:rPr>
      </w:pPr>
      <w:r>
        <w:rPr>
          <w:rFonts w:hint="eastAsia" w:ascii="楷体" w:hAnsi="楷体" w:eastAsia="楷体" w:cs="楷体"/>
          <w:b w:val="0"/>
          <w:bCs/>
          <w:color w:val="auto"/>
          <w:kern w:val="0"/>
          <w:sz w:val="32"/>
          <w:szCs w:val="32"/>
          <w:highlight w:val="none"/>
        </w:rPr>
        <w:t>1</w:t>
      </w:r>
      <w:r>
        <w:rPr>
          <w:rFonts w:hint="eastAsia" w:ascii="楷体" w:hAnsi="楷体" w:eastAsia="楷体" w:cs="楷体"/>
          <w:b w:val="0"/>
          <w:bCs/>
          <w:color w:val="auto"/>
          <w:kern w:val="0"/>
          <w:sz w:val="32"/>
          <w:szCs w:val="32"/>
          <w:highlight w:val="none"/>
          <w:lang w:val="en-US" w:eastAsia="zh-CN"/>
        </w:rPr>
        <w:t>1</w:t>
      </w:r>
      <w:r>
        <w:rPr>
          <w:rFonts w:hint="eastAsia" w:ascii="楷体" w:hAnsi="楷体" w:eastAsia="楷体" w:cs="楷体"/>
          <w:b w:val="0"/>
          <w:bCs/>
          <w:color w:val="auto"/>
          <w:kern w:val="0"/>
          <w:sz w:val="32"/>
          <w:szCs w:val="32"/>
          <w:highlight w:val="none"/>
        </w:rPr>
        <w:t>.考生是否可以凭第二专业或者辅修专业报考？</w:t>
      </w:r>
    </w:p>
    <w:p>
      <w:pPr>
        <w:snapToGrid w:val="0"/>
        <w:spacing w:line="560" w:lineRule="exact"/>
        <w:ind w:firstLine="64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答：考生如取得教育主管部门认证的符合招聘岗位要求专业的学历学位证书，且学历与学位专业一致，即可报考。</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rPr>
        <w:t>1</w:t>
      </w:r>
      <w:r>
        <w:rPr>
          <w:rFonts w:hint="eastAsia" w:ascii="楷体" w:hAnsi="楷体" w:eastAsia="楷体" w:cs="楷体"/>
          <w:bCs/>
          <w:color w:val="auto"/>
          <w:kern w:val="0"/>
          <w:sz w:val="32"/>
          <w:szCs w:val="32"/>
          <w:highlight w:val="none"/>
          <w:lang w:val="en-US" w:eastAsia="zh-CN"/>
        </w:rPr>
        <w:t>2</w:t>
      </w:r>
      <w:r>
        <w:rPr>
          <w:rFonts w:hint="eastAsia" w:ascii="楷体" w:hAnsi="楷体" w:eastAsia="楷体" w:cs="楷体"/>
          <w:bCs/>
          <w:color w:val="auto"/>
          <w:kern w:val="0"/>
          <w:sz w:val="32"/>
          <w:szCs w:val="32"/>
          <w:highlight w:val="none"/>
        </w:rPr>
        <w:t>.毕业证书上专业后面带括号，能否以括号里的信息作为专业报考？</w:t>
      </w:r>
    </w:p>
    <w:p>
      <w:pPr>
        <w:snapToGrid w:val="0"/>
        <w:spacing w:line="560" w:lineRule="exact"/>
        <w:ind w:firstLine="640" w:firstLineChars="20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答：括号里的信息只能代表所学内容有所涉及，不能认定为专业（教育部公布的“专业指导目录”中自带括号的除外），考生只能以括号外的专业名称报考相符合的岗位。</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rPr>
        <w:t>1</w:t>
      </w:r>
      <w:r>
        <w:rPr>
          <w:rFonts w:hint="eastAsia" w:ascii="楷体" w:hAnsi="楷体" w:eastAsia="楷体" w:cs="楷体"/>
          <w:bCs/>
          <w:color w:val="auto"/>
          <w:kern w:val="0"/>
          <w:sz w:val="32"/>
          <w:szCs w:val="32"/>
          <w:highlight w:val="none"/>
          <w:lang w:val="en-US" w:eastAsia="zh-CN"/>
        </w:rPr>
        <w:t>3</w:t>
      </w:r>
      <w:r>
        <w:rPr>
          <w:rFonts w:hint="eastAsia" w:ascii="楷体" w:hAnsi="楷体" w:eastAsia="楷体" w:cs="楷体"/>
          <w:bCs/>
          <w:color w:val="auto"/>
          <w:kern w:val="0"/>
          <w:sz w:val="32"/>
          <w:szCs w:val="32"/>
          <w:highlight w:val="none"/>
        </w:rPr>
        <w:t>.退役士兵，尚未办理户口入户手续，无身份证，如何报考？</w:t>
      </w:r>
    </w:p>
    <w:p>
      <w:pPr>
        <w:tabs>
          <w:tab w:val="left" w:pos="900"/>
        </w:tabs>
        <w:snapToGrid w:val="0"/>
        <w:spacing w:line="560" w:lineRule="exact"/>
        <w:ind w:firstLine="640" w:firstLineChars="200"/>
        <w:rPr>
          <w:rFonts w:hint="eastAsia" w:ascii="仿宋" w:hAnsi="仿宋" w:eastAsia="仿宋" w:cs="仿宋"/>
          <w:bCs/>
          <w:color w:val="auto"/>
          <w:kern w:val="0"/>
          <w:sz w:val="32"/>
          <w:szCs w:val="32"/>
          <w:highlight w:val="none"/>
        </w:rPr>
      </w:pPr>
      <w:r>
        <w:rPr>
          <w:rFonts w:hint="eastAsia" w:ascii="仿宋" w:hAnsi="仿宋" w:eastAsia="仿宋" w:cs="仿宋"/>
          <w:bCs/>
          <w:color w:val="auto"/>
          <w:kern w:val="0"/>
          <w:sz w:val="32"/>
          <w:szCs w:val="32"/>
          <w:highlight w:val="none"/>
        </w:rPr>
        <w:t>答：退役士兵可以身份证号报名，在考前如仍未取得有效身份证件的，可持有效</w:t>
      </w:r>
      <w:r>
        <w:rPr>
          <w:rFonts w:hint="eastAsia" w:ascii="仿宋" w:hAnsi="仿宋" w:eastAsia="仿宋" w:cs="仿宋"/>
          <w:bCs/>
          <w:color w:val="auto"/>
          <w:kern w:val="0"/>
          <w:sz w:val="32"/>
          <w:szCs w:val="32"/>
          <w:highlight w:val="none"/>
          <w:lang w:eastAsia="zh-CN"/>
        </w:rPr>
        <w:t>期内的临时</w:t>
      </w:r>
      <w:r>
        <w:rPr>
          <w:rFonts w:hint="eastAsia" w:ascii="仿宋" w:hAnsi="仿宋" w:eastAsia="仿宋" w:cs="仿宋"/>
          <w:bCs/>
          <w:color w:val="auto"/>
          <w:kern w:val="0"/>
          <w:sz w:val="32"/>
          <w:szCs w:val="32"/>
          <w:highlight w:val="none"/>
        </w:rPr>
        <w:t>身份证参加考试。</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rPr>
        <w:t>1</w:t>
      </w:r>
      <w:r>
        <w:rPr>
          <w:rFonts w:hint="eastAsia" w:ascii="楷体" w:hAnsi="楷体" w:eastAsia="楷体" w:cs="楷体"/>
          <w:bCs/>
          <w:color w:val="auto"/>
          <w:kern w:val="0"/>
          <w:sz w:val="32"/>
          <w:szCs w:val="32"/>
          <w:highlight w:val="none"/>
          <w:lang w:val="en-US" w:eastAsia="zh-CN"/>
        </w:rPr>
        <w:t>4</w:t>
      </w:r>
      <w:r>
        <w:rPr>
          <w:rFonts w:hint="eastAsia" w:ascii="楷体" w:hAnsi="楷体" w:eastAsia="楷体" w:cs="楷体"/>
          <w:bCs/>
          <w:color w:val="auto"/>
          <w:kern w:val="0"/>
          <w:sz w:val="32"/>
          <w:szCs w:val="32"/>
          <w:highlight w:val="none"/>
        </w:rPr>
        <w:t>.报考人员身份证遗失，新证尚未办理，应如何报名？</w:t>
      </w:r>
    </w:p>
    <w:p>
      <w:pPr>
        <w:tabs>
          <w:tab w:val="left" w:pos="900"/>
        </w:tabs>
        <w:snapToGrid w:val="0"/>
        <w:spacing w:line="560" w:lineRule="exact"/>
        <w:ind w:firstLine="640" w:firstLineChars="200"/>
        <w:rPr>
          <w:rFonts w:hint="eastAsia" w:ascii="仿宋_GB2312" w:hAnsi="宋体" w:eastAsia="仿宋_GB2312" w:cs="宋体"/>
          <w:bCs/>
          <w:color w:val="auto"/>
          <w:kern w:val="0"/>
          <w:sz w:val="32"/>
          <w:szCs w:val="32"/>
          <w:highlight w:val="none"/>
        </w:rPr>
      </w:pPr>
      <w:r>
        <w:rPr>
          <w:rFonts w:hint="eastAsia" w:ascii="仿宋" w:hAnsi="仿宋" w:eastAsia="仿宋" w:cs="仿宋"/>
          <w:bCs/>
          <w:color w:val="auto"/>
          <w:kern w:val="0"/>
          <w:sz w:val="32"/>
          <w:szCs w:val="32"/>
          <w:highlight w:val="none"/>
        </w:rPr>
        <w:t>答：上述人员可先以本人原有的身份证号报名，于考前及时办理身份证或临时身份证</w:t>
      </w:r>
      <w:r>
        <w:rPr>
          <w:rFonts w:hint="eastAsia" w:ascii="仿宋" w:hAnsi="仿宋" w:eastAsia="仿宋" w:cs="仿宋"/>
          <w:bCs/>
          <w:color w:val="auto"/>
          <w:kern w:val="0"/>
          <w:sz w:val="32"/>
          <w:szCs w:val="32"/>
          <w:highlight w:val="none"/>
          <w:lang w:eastAsia="zh-CN"/>
        </w:rPr>
        <w:t>参加考试</w:t>
      </w:r>
      <w:r>
        <w:rPr>
          <w:rFonts w:hint="eastAsia" w:ascii="仿宋" w:hAnsi="仿宋" w:eastAsia="仿宋" w:cs="仿宋"/>
          <w:bCs/>
          <w:color w:val="auto"/>
          <w:kern w:val="0"/>
          <w:sz w:val="32"/>
          <w:szCs w:val="32"/>
          <w:highlight w:val="none"/>
        </w:rPr>
        <w:t>。</w:t>
      </w:r>
    </w:p>
    <w:p>
      <w:pPr>
        <w:snapToGrid w:val="0"/>
        <w:spacing w:line="560" w:lineRule="exact"/>
        <w:ind w:firstLine="640" w:firstLineChars="200"/>
        <w:rPr>
          <w:rFonts w:hint="eastAsia" w:ascii="楷体" w:hAnsi="楷体" w:eastAsia="楷体" w:cs="楷体"/>
          <w:bCs/>
          <w:color w:val="auto"/>
          <w:kern w:val="0"/>
          <w:sz w:val="32"/>
          <w:szCs w:val="32"/>
          <w:highlight w:val="none"/>
        </w:rPr>
      </w:pPr>
      <w:r>
        <w:rPr>
          <w:rFonts w:hint="eastAsia" w:ascii="楷体" w:hAnsi="楷体" w:eastAsia="楷体" w:cs="楷体"/>
          <w:bCs/>
          <w:color w:val="auto"/>
          <w:kern w:val="0"/>
          <w:sz w:val="32"/>
          <w:szCs w:val="32"/>
          <w:highlight w:val="none"/>
          <w:lang w:val="en-US" w:eastAsia="zh-CN"/>
        </w:rPr>
        <w:t>15</w:t>
      </w:r>
      <w:r>
        <w:rPr>
          <w:rFonts w:hint="eastAsia" w:ascii="楷体" w:hAnsi="楷体" w:eastAsia="楷体" w:cs="楷体"/>
          <w:bCs/>
          <w:color w:val="auto"/>
          <w:kern w:val="0"/>
          <w:sz w:val="32"/>
          <w:szCs w:val="32"/>
          <w:highlight w:val="none"/>
        </w:rPr>
        <w:t>.报考人员参加资格复审时，需要提供哪些材料？</w:t>
      </w:r>
    </w:p>
    <w:p>
      <w:pPr>
        <w:spacing w:line="640" w:lineRule="exact"/>
        <w:ind w:firstLine="640" w:firstLineChars="200"/>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资格复审时，报考人员应提供本人有效居民身份证原件、学历（学位）证书、笔试准考证、招聘岗位规定要求的相关证书、证明等原件和报名资格审查表等材料。其中：</w:t>
      </w:r>
    </w:p>
    <w:p>
      <w:pPr>
        <w:tabs>
          <w:tab w:val="left" w:pos="900"/>
        </w:tabs>
        <w:spacing w:beforeLines="0" w:afterLines="0" w:line="640" w:lineRule="exact"/>
        <w:ind w:firstLine="640" w:firstLineChars="200"/>
        <w:rPr>
          <w:rFonts w:hint="eastAsia" w:ascii="仿宋" w:hAnsi="仿宋" w:eastAsia="仿宋" w:cs="仿宋"/>
          <w:color w:val="auto"/>
          <w:kern w:val="0"/>
          <w:sz w:val="32"/>
          <w:szCs w:val="32"/>
          <w:highlight w:val="none"/>
          <w:lang w:eastAsia="zh-CN"/>
        </w:rPr>
      </w:pPr>
      <w:r>
        <w:rPr>
          <w:rFonts w:hint="eastAsia" w:ascii="仿宋" w:hAnsi="仿宋" w:eastAsia="仿宋" w:cs="仿宋"/>
          <w:color w:val="auto"/>
          <w:kern w:val="0"/>
          <w:sz w:val="32"/>
          <w:szCs w:val="32"/>
          <w:highlight w:val="none"/>
        </w:rPr>
        <w:t>（1）</w:t>
      </w:r>
      <w:r>
        <w:rPr>
          <w:rFonts w:hint="eastAsia" w:ascii="仿宋" w:hAnsi="仿宋" w:eastAsia="仿宋" w:cs="仿宋"/>
          <w:color w:val="auto"/>
          <w:sz w:val="32"/>
          <w:szCs w:val="32"/>
          <w:highlight w:val="none"/>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年毕业，但资格复审时尚未取得学历（学位）证书的人员，可凭学校或省、市教育主管部门出具的书面证明和有关证件材料办理资格复审</w:t>
      </w:r>
      <w:r>
        <w:rPr>
          <w:rFonts w:hint="eastAsia" w:ascii="仿宋" w:hAnsi="仿宋" w:eastAsia="仿宋" w:cs="仿宋"/>
          <w:color w:val="auto"/>
          <w:sz w:val="32"/>
          <w:szCs w:val="32"/>
          <w:highlight w:val="none"/>
          <w:lang w:eastAsia="zh-CN"/>
        </w:rPr>
        <w:t>。</w:t>
      </w:r>
    </w:p>
    <w:p>
      <w:pPr>
        <w:tabs>
          <w:tab w:val="left" w:pos="900"/>
        </w:tabs>
        <w:spacing w:beforeLines="0" w:afterLines="0" w:line="240" w:lineRule="auto"/>
        <w:ind w:firstLine="640" w:firstLineChars="200"/>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2</w:t>
      </w:r>
      <w:r>
        <w:rPr>
          <w:rFonts w:hint="eastAsia" w:ascii="仿宋" w:hAnsi="仿宋" w:eastAsia="仿宋" w:cs="仿宋"/>
          <w:color w:val="auto"/>
          <w:kern w:val="0"/>
          <w:sz w:val="32"/>
          <w:szCs w:val="32"/>
          <w:highlight w:val="none"/>
        </w:rPr>
        <w:t>）机关、事业单位在编正式工作人员还须按干部人事管理权限提供单位和主管部门同意报考的证明。</w:t>
      </w:r>
    </w:p>
    <w:p>
      <w:pPr>
        <w:ind w:firstLine="720" w:firstLineChars="225"/>
        <w:rPr>
          <w:rFonts w:ascii="楷体" w:hAnsi="楷体" w:eastAsia="楷体" w:cs="楷体"/>
          <w:bCs/>
          <w:kern w:val="0"/>
          <w:sz w:val="32"/>
          <w:szCs w:val="32"/>
        </w:rPr>
      </w:pPr>
      <w:r>
        <w:rPr>
          <w:rFonts w:hint="eastAsia" w:ascii="楷体" w:hAnsi="楷体" w:eastAsia="楷体" w:cs="楷体"/>
          <w:bCs/>
          <w:kern w:val="0"/>
          <w:sz w:val="32"/>
          <w:szCs w:val="32"/>
          <w:lang w:val="en-US" w:eastAsia="zh-CN"/>
        </w:rPr>
        <w:t>16.</w:t>
      </w:r>
      <w:r>
        <w:rPr>
          <w:rFonts w:hint="eastAsia" w:ascii="楷体" w:hAnsi="楷体" w:eastAsia="楷体" w:cs="楷体"/>
          <w:bCs/>
          <w:kern w:val="0"/>
          <w:sz w:val="32"/>
          <w:szCs w:val="32"/>
        </w:rPr>
        <w:t>招聘岗位中的“面向本县户籍人员”要求如何界定?</w:t>
      </w:r>
    </w:p>
    <w:p>
      <w:pPr>
        <w:ind w:firstLine="720" w:firstLineChars="225"/>
        <w:rPr>
          <w:rFonts w:ascii="仿宋_GB2312" w:eastAsia="仿宋_GB2312"/>
          <w:sz w:val="32"/>
          <w:szCs w:val="32"/>
        </w:rPr>
      </w:pPr>
      <w:r>
        <w:rPr>
          <w:rFonts w:hint="eastAsia" w:ascii="仿宋_GB2312" w:hAnsi="宋体" w:eastAsia="仿宋_GB2312" w:cs="宋体"/>
          <w:bCs/>
          <w:kern w:val="0"/>
          <w:sz w:val="32"/>
          <w:szCs w:val="32"/>
        </w:rPr>
        <w:t>答：考生报名</w:t>
      </w:r>
      <w:r>
        <w:rPr>
          <w:rFonts w:ascii="仿宋_GB2312" w:hAnsi="宋体" w:eastAsia="仿宋_GB2312" w:cs="宋体"/>
          <w:bCs/>
          <w:kern w:val="0"/>
          <w:sz w:val="32"/>
          <w:szCs w:val="32"/>
        </w:rPr>
        <w:t>时户籍为怀远县</w:t>
      </w:r>
      <w:r>
        <w:rPr>
          <w:rFonts w:hint="eastAsia" w:ascii="楷体" w:hAnsi="楷体" w:eastAsia="楷体" w:cs="楷体"/>
          <w:bCs/>
          <w:kern w:val="0"/>
          <w:sz w:val="32"/>
          <w:szCs w:val="32"/>
        </w:rPr>
        <w:t>户籍</w:t>
      </w:r>
      <w:r>
        <w:rPr>
          <w:rFonts w:hint="eastAsia" w:ascii="仿宋_GB2312" w:hAnsi="宋体" w:eastAsia="仿宋_GB2312" w:cs="宋体"/>
          <w:bCs/>
          <w:kern w:val="0"/>
          <w:sz w:val="32"/>
          <w:szCs w:val="32"/>
        </w:rPr>
        <w:t>，且</w:t>
      </w:r>
      <w:r>
        <w:rPr>
          <w:rFonts w:ascii="仿宋_GB2312" w:hAnsi="宋体" w:eastAsia="仿宋_GB2312" w:cs="宋体"/>
          <w:bCs/>
          <w:kern w:val="0"/>
          <w:sz w:val="32"/>
          <w:szCs w:val="32"/>
        </w:rPr>
        <w:t>符合</w:t>
      </w:r>
      <w:r>
        <w:rPr>
          <w:rFonts w:hint="eastAsia" w:ascii="仿宋_GB2312" w:hAnsi="宋体" w:eastAsia="仿宋_GB2312" w:cs="宋体"/>
          <w:bCs/>
          <w:kern w:val="0"/>
          <w:sz w:val="32"/>
          <w:szCs w:val="32"/>
        </w:rPr>
        <w:t>其他</w:t>
      </w:r>
      <w:r>
        <w:rPr>
          <w:rFonts w:ascii="仿宋_GB2312" w:hAnsi="宋体" w:eastAsia="仿宋_GB2312" w:cs="宋体"/>
          <w:bCs/>
          <w:kern w:val="0"/>
          <w:sz w:val="32"/>
          <w:szCs w:val="32"/>
        </w:rPr>
        <w:t>报考条件</w:t>
      </w:r>
      <w:r>
        <w:rPr>
          <w:rFonts w:hint="eastAsia" w:ascii="仿宋_GB2312" w:hAnsi="宋体" w:eastAsia="仿宋_GB2312" w:cs="宋体"/>
          <w:bCs/>
          <w:kern w:val="0"/>
          <w:sz w:val="32"/>
          <w:szCs w:val="32"/>
        </w:rPr>
        <w:t>。</w:t>
      </w:r>
    </w:p>
    <w:p>
      <w:pPr>
        <w:tabs>
          <w:tab w:val="left" w:pos="900"/>
        </w:tabs>
        <w:ind w:firstLine="640" w:firstLineChars="200"/>
        <w:rPr>
          <w:rFonts w:hint="eastAsia" w:ascii="仿宋" w:hAnsi="仿宋" w:eastAsia="仿宋" w:cs="仿宋"/>
          <w:color w:val="auto"/>
          <w:kern w:val="0"/>
          <w:sz w:val="32"/>
          <w:szCs w:val="32"/>
          <w:highlight w:val="none"/>
          <w:lang w:eastAsia="zh-CN"/>
        </w:rPr>
      </w:pPr>
    </w:p>
    <w:p/>
    <w:sectPr>
      <w:footerReference r:id="rId3" w:type="default"/>
      <w:footerReference r:id="rId4" w:type="even"/>
      <w:pgSz w:w="11906" w:h="16838"/>
      <w:pgMar w:top="1814" w:right="1531" w:bottom="1701" w:left="1531" w:header="851" w:footer="164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right"/>
      <w:rPr>
        <w:rStyle w:val="5"/>
        <w:rFonts w:hint="eastAsia"/>
        <w:sz w:val="28"/>
      </w:rPr>
    </w:pPr>
    <w:r>
      <w:rPr>
        <w:rStyle w:val="5"/>
        <w:rFonts w:hint="eastAsia"/>
        <w:sz w:val="28"/>
      </w:rPr>
      <w:t xml:space="preserve">— </w:t>
    </w:r>
    <w:r>
      <w:rPr>
        <w:sz w:val="28"/>
      </w:rPr>
      <w:fldChar w:fldCharType="begin"/>
    </w:r>
    <w:r>
      <w:rPr>
        <w:rStyle w:val="5"/>
        <w:sz w:val="28"/>
      </w:rPr>
      <w:instrText xml:space="preserve">PAGE  </w:instrText>
    </w:r>
    <w:r>
      <w:rPr>
        <w:sz w:val="28"/>
      </w:rPr>
      <w:fldChar w:fldCharType="separate"/>
    </w:r>
    <w:r>
      <w:rPr>
        <w:rStyle w:val="5"/>
        <w:sz w:val="28"/>
      </w:rPr>
      <w:t>3</w:t>
    </w:r>
    <w:r>
      <w:rPr>
        <w:sz w:val="28"/>
      </w:rPr>
      <w:fldChar w:fldCharType="end"/>
    </w:r>
    <w:r>
      <w:rPr>
        <w:rStyle w:val="5"/>
        <w:rFonts w:hint="eastAsia"/>
        <w:sz w:val="28"/>
      </w:rPr>
      <w:t xml:space="preserve"> —</w:t>
    </w:r>
  </w:p>
  <w:p>
    <w:pPr>
      <w:pStyle w:val="2"/>
      <w:framePr w:wrap="around" w:vAnchor="text" w:hAnchor="margin" w:xAlign="outside" w:y="1"/>
      <w:ind w:right="360" w:firstLine="360"/>
      <w:jc w:val="right"/>
      <w:rPr>
        <w:rStyle w:val="5"/>
        <w:rFonts w:hint="eastAsia"/>
        <w:sz w:val="28"/>
      </w:rPr>
    </w:pPr>
  </w:p>
  <w:p>
    <w:pPr>
      <w:pStyle w:val="2"/>
      <w:framePr w:wrap="around" w:vAnchor="text" w:hAnchor="margin" w:xAlign="outside" w:y="1"/>
      <w:ind w:right="360" w:firstLine="360"/>
      <w:rPr>
        <w:rStyle w:val="5"/>
      </w:rPr>
    </w:pPr>
  </w:p>
  <w:p>
    <w:pPr>
      <w:pStyle w:val="2"/>
      <w:framePr w:wrap="around" w:vAnchor="text" w:hAnchor="margin" w:xAlign="outside" w:y="1"/>
      <w:ind w:right="360" w:firstLine="360"/>
      <w:rPr>
        <w:rStyle w:val="5"/>
        <w:rFonts w:hint="eastAsia"/>
        <w:sz w:val="28"/>
      </w:rPr>
    </w:pP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hint="eastAsia" w:ascii="宋体" w:hAnsi="宋体"/>
        <w:sz w:val="28"/>
      </w:rPr>
    </w:pPr>
    <w:r>
      <w:rPr>
        <w:rStyle w:val="5"/>
        <w:rFonts w:hint="eastAsia"/>
        <w:sz w:val="28"/>
      </w:rPr>
      <w:t>—</w:t>
    </w:r>
    <w:r>
      <w:rPr>
        <w:sz w:val="28"/>
      </w:rPr>
      <w:fldChar w:fldCharType="begin"/>
    </w:r>
    <w:r>
      <w:rPr>
        <w:rStyle w:val="5"/>
        <w:sz w:val="28"/>
      </w:rPr>
      <w:instrText xml:space="preserve">PAGE  </w:instrText>
    </w:r>
    <w:r>
      <w:rPr>
        <w:sz w:val="28"/>
      </w:rPr>
      <w:fldChar w:fldCharType="separate"/>
    </w:r>
    <w:r>
      <w:rPr>
        <w:rStyle w:val="5"/>
        <w:sz w:val="28"/>
      </w:rPr>
      <w:t>2</w:t>
    </w:r>
    <w:r>
      <w:rPr>
        <w:sz w:val="28"/>
      </w:rPr>
      <w:fldChar w:fldCharType="end"/>
    </w:r>
    <w:r>
      <w:rPr>
        <w:rStyle w:val="5"/>
        <w:rFonts w:hint="eastAsia"/>
        <w:sz w:val="28"/>
      </w:rPr>
      <w:t>—</w:t>
    </w:r>
  </w:p>
  <w:p>
    <w:pPr>
      <w:pStyle w:val="2"/>
      <w:framePr w:wrap="around" w:vAnchor="text" w:hAnchor="margin" w:xAlign="outside" w:y="1"/>
      <w:ind w:right="360" w:firstLine="360"/>
      <w:rPr>
        <w:rStyle w:val="5"/>
        <w:rFonts w:hint="eastAsia"/>
        <w:sz w:val="28"/>
      </w:rPr>
    </w:pPr>
  </w:p>
  <w:p>
    <w:pPr>
      <w:pStyle w:val="2"/>
      <w:framePr w:wrap="around" w:vAnchor="text" w:hAnchor="margin" w:xAlign="outside" w:y="1"/>
      <w:ind w:right="360" w:firstLine="360"/>
      <w:rPr>
        <w:rStyle w:val="5"/>
        <w:rFonts w:hint="eastAsia"/>
        <w:sz w:val="28"/>
      </w:rPr>
    </w:pPr>
  </w:p>
  <w:p>
    <w:pPr>
      <w:pStyle w:val="2"/>
      <w:framePr w:wrap="around" w:vAnchor="text" w:hAnchor="margin" w:xAlign="outside" w:y="1"/>
      <w:ind w:right="360" w:firstLine="360"/>
      <w:rPr>
        <w:rStyle w:val="5"/>
        <w:rFonts w:hint="eastAsia"/>
        <w:sz w:val="28"/>
      </w:rPr>
    </w:pP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ZDEzNzVlMzVkNzBjZDgwY2I5OGZkMDNjZDQ4MzMifQ=="/>
  </w:docVars>
  <w:rsids>
    <w:rsidRoot w:val="4DAD6C2E"/>
    <w:rsid w:val="4DAD6C2E"/>
    <w:rsid w:val="5FC44658"/>
    <w:rsid w:val="6E377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qFormat/>
    <w:uiPriority w:val="0"/>
    <w:pPr>
      <w:tabs>
        <w:tab w:val="center" w:pos="4153"/>
        <w:tab w:val="right" w:pos="8306"/>
      </w:tabs>
      <w:snapToGrid w:val="0"/>
      <w:jc w:val="left"/>
    </w:pPr>
    <w:rPr>
      <w:sz w:val="18"/>
    </w:rPr>
  </w:style>
  <w:style w:type="character" w:styleId="5">
    <w:name w:val="page number"/>
    <w:basedOn w:val="4"/>
    <w:semiHidden/>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1735</Words>
  <Characters>1801</Characters>
  <Lines>0</Lines>
  <Paragraphs>0</Paragraphs>
  <TotalTime>6</TotalTime>
  <ScaleCrop>false</ScaleCrop>
  <LinksUpToDate>false</LinksUpToDate>
  <CharactersWithSpaces>1817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2024-06-03T02:42:00Z</dcterms:created>
  <dc:creator>WPS_1670040627</dc:creator>
  <cp:lastModifiedBy>坏月亮</cp:lastModifiedBy>
  <dcterms:modified xsi:type="dcterms:W3CDTF">2024-06-13T10:38:14Z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CC7F5634AAA947A0B6D13534F117ECEB_13</vt:lpwstr>
  </property>
</Properties>
</file>