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本人参加2024年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泉州台商投资区部分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公办学校专项公开招聘编制内新任教</w:t>
      </w:r>
      <w:bookmarkStart w:id="0" w:name="_GoBack"/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师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考</w:t>
      </w:r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教师资格证书，并按规定的时间将教师资格证书及普通话等级证书原件、复印件送交泉州台商投资区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教育文体旅游局组织人事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科复审。如未能按时提供，本人愿自动放弃应聘该岗位。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I3ZTc1MWUzNTNhMzk4NDJkY2M1MDVjMGJlMGRhODIifQ=="/>
  </w:docVars>
  <w:rsids>
    <w:rsidRoot w:val="00000000"/>
    <w:rsid w:val="66481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202</Words>
  <Characters>212</Characters>
  <Lines>0</Lines>
  <Paragraphs>0</Paragraphs>
  <TotalTime>0</TotalTime>
  <ScaleCrop>false</ScaleCrop>
  <LinksUpToDate>false</LinksUpToDate>
  <CharactersWithSpaces>295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軟</cp:lastModifiedBy>
  <cp:lastPrinted>2022-11-28T11:46:00Z</cp:lastPrinted>
  <dcterms:modified xsi:type="dcterms:W3CDTF">2024-05-23T02:42:16Z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D6403F2ED6564547BE4C15EDC524D26F_13</vt:lpwstr>
  </property>
</Properties>
</file>