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黑体" w:hAnsi="黑体" w:eastAsia="黑体"/>
          <w:color w:val="000000"/>
          <w:sz w:val="28"/>
          <w:szCs w:val="28"/>
        </w:rPr>
      </w:pPr>
      <w:r>
        <w:rPr>
          <w:rFonts w:hint="eastAsia" w:ascii="黑体" w:hAnsi="黑体" w:eastAsia="黑体"/>
          <w:color w:val="000000"/>
          <w:sz w:val="28"/>
          <w:szCs w:val="28"/>
        </w:rPr>
        <w:t>附件</w:t>
      </w:r>
    </w:p>
    <w:p>
      <w:pPr>
        <w:spacing w:line="360" w:lineRule="auto"/>
        <w:jc w:val="center"/>
        <w:rPr>
          <w:rFonts w:hint="eastAsia" w:ascii="宋体" w:hAnsi="宋体" w:eastAsia="宋体"/>
          <w:b/>
          <w:bCs/>
          <w:sz w:val="30"/>
          <w:szCs w:val="30"/>
          <w:lang w:eastAsia="zh-CN"/>
        </w:rPr>
      </w:pPr>
      <w:r>
        <w:rPr>
          <w:rFonts w:hint="eastAsia" w:ascii="宋体" w:hAnsi="宋体"/>
          <w:b/>
          <w:bCs/>
          <w:sz w:val="30"/>
          <w:szCs w:val="30"/>
        </w:rPr>
        <w:t>202</w:t>
      </w:r>
      <w:r>
        <w:rPr>
          <w:rFonts w:ascii="宋体" w:hAnsi="宋体"/>
          <w:b/>
          <w:bCs/>
          <w:sz w:val="30"/>
          <w:szCs w:val="30"/>
        </w:rPr>
        <w:t>4</w:t>
      </w:r>
      <w:r>
        <w:rPr>
          <w:rFonts w:hint="eastAsia" w:ascii="宋体" w:hAnsi="宋体"/>
          <w:b/>
          <w:bCs/>
          <w:sz w:val="30"/>
          <w:szCs w:val="30"/>
        </w:rPr>
        <w:t>年招聘单位、岗位、人数、专业、学历和范围及资格条件</w:t>
      </w:r>
      <w:r>
        <w:rPr>
          <w:rFonts w:hint="eastAsia" w:ascii="宋体" w:hAnsi="宋体"/>
          <w:b/>
          <w:bCs/>
          <w:sz w:val="30"/>
          <w:szCs w:val="30"/>
          <w:lang w:eastAsia="zh-CN"/>
        </w:rPr>
        <w:t>（第二批）</w:t>
      </w:r>
    </w:p>
    <w:tbl>
      <w:tblPr>
        <w:tblStyle w:val="4"/>
        <w:tblW w:w="105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026"/>
        <w:gridCol w:w="392"/>
        <w:gridCol w:w="2245"/>
        <w:gridCol w:w="2858"/>
        <w:gridCol w:w="851"/>
        <w:gridCol w:w="23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jc w:val="center"/>
        </w:trPr>
        <w:tc>
          <w:tcPr>
            <w:tcW w:w="817"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招聘</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单位</w:t>
            </w:r>
          </w:p>
        </w:tc>
        <w:tc>
          <w:tcPr>
            <w:tcW w:w="1026"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招聘</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岗位</w:t>
            </w:r>
          </w:p>
        </w:tc>
        <w:tc>
          <w:tcPr>
            <w:tcW w:w="392"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人</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数</w:t>
            </w:r>
          </w:p>
        </w:tc>
        <w:tc>
          <w:tcPr>
            <w:tcW w:w="2245"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岗位</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职责</w:t>
            </w:r>
          </w:p>
        </w:tc>
        <w:tc>
          <w:tcPr>
            <w:tcW w:w="2858"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招聘专业及学历</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（学位）要求</w:t>
            </w:r>
          </w:p>
        </w:tc>
        <w:tc>
          <w:tcPr>
            <w:tcW w:w="851"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招聘</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范围</w:t>
            </w:r>
          </w:p>
        </w:tc>
        <w:tc>
          <w:tcPr>
            <w:tcW w:w="2385"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其他资</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格条件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Align w:val="center"/>
          </w:tcPr>
          <w:p>
            <w:pPr>
              <w:widowControl/>
              <w:spacing w:line="240" w:lineRule="exact"/>
              <w:jc w:val="center"/>
              <w:textAlignment w:val="center"/>
              <w:rPr>
                <w:rFonts w:hint="eastAsia"/>
                <w:bCs/>
                <w:sz w:val="18"/>
                <w:szCs w:val="18"/>
                <w:lang w:eastAsia="zh-CN"/>
              </w:rPr>
            </w:pPr>
            <w:r>
              <w:rPr>
                <w:rFonts w:hint="eastAsia"/>
                <w:bCs/>
                <w:sz w:val="18"/>
                <w:szCs w:val="18"/>
                <w:lang w:eastAsia="zh-CN"/>
              </w:rPr>
              <w:t>宁波大学附属第一医院</w:t>
            </w:r>
          </w:p>
          <w:p>
            <w:pPr>
              <w:widowControl/>
              <w:spacing w:line="240" w:lineRule="exact"/>
              <w:jc w:val="center"/>
              <w:textAlignment w:val="center"/>
              <w:rPr>
                <w:rFonts w:hint="eastAsia"/>
                <w:bCs/>
                <w:sz w:val="18"/>
                <w:szCs w:val="18"/>
                <w:lang w:eastAsia="zh-CN"/>
              </w:rPr>
            </w:pPr>
            <w:r>
              <w:rPr>
                <w:rFonts w:hint="eastAsia"/>
                <w:bCs/>
                <w:sz w:val="18"/>
                <w:szCs w:val="18"/>
                <w:lang w:eastAsia="zh-CN"/>
              </w:rPr>
              <w:t>（</w:t>
            </w:r>
            <w:r>
              <w:rPr>
                <w:rFonts w:hint="eastAsia"/>
                <w:bCs/>
                <w:sz w:val="18"/>
                <w:szCs w:val="18"/>
                <w:lang w:val="en-US" w:eastAsia="zh-CN"/>
              </w:rPr>
              <w:t>2名</w:t>
            </w:r>
            <w:r>
              <w:rPr>
                <w:rFonts w:hint="eastAsia"/>
                <w:bCs/>
                <w:sz w:val="18"/>
                <w:szCs w:val="18"/>
                <w:lang w:eastAsia="zh-CN"/>
              </w:rPr>
              <w:t>）</w:t>
            </w:r>
          </w:p>
        </w:tc>
        <w:tc>
          <w:tcPr>
            <w:tcW w:w="1026" w:type="dxa"/>
            <w:vAlign w:val="center"/>
          </w:tcPr>
          <w:p>
            <w:pPr>
              <w:widowControl/>
              <w:spacing w:line="240" w:lineRule="exact"/>
              <w:jc w:val="center"/>
              <w:textAlignment w:val="center"/>
              <w:rPr>
                <w:rFonts w:hint="default"/>
                <w:bCs/>
                <w:sz w:val="18"/>
                <w:szCs w:val="18"/>
                <w:lang w:val="en-US" w:eastAsia="zh-CN"/>
              </w:rPr>
            </w:pPr>
            <w:r>
              <w:rPr>
                <w:rFonts w:hint="default"/>
                <w:bCs/>
                <w:sz w:val="18"/>
                <w:szCs w:val="18"/>
              </w:rPr>
              <w:t>财务管理</w:t>
            </w:r>
          </w:p>
        </w:tc>
        <w:tc>
          <w:tcPr>
            <w:tcW w:w="392" w:type="dxa"/>
            <w:vAlign w:val="center"/>
          </w:tcPr>
          <w:p>
            <w:pPr>
              <w:widowControl/>
              <w:spacing w:line="240" w:lineRule="exact"/>
              <w:jc w:val="center"/>
              <w:textAlignment w:val="center"/>
              <w:rPr>
                <w:rFonts w:hint="default"/>
                <w:bCs/>
                <w:sz w:val="18"/>
                <w:szCs w:val="18"/>
                <w:lang w:val="en-US" w:eastAsia="zh-CN"/>
              </w:rPr>
            </w:pPr>
            <w:r>
              <w:rPr>
                <w:rFonts w:hint="eastAsia"/>
                <w:bCs/>
                <w:sz w:val="18"/>
                <w:szCs w:val="18"/>
                <w:lang w:val="en-US" w:eastAsia="zh-CN"/>
              </w:rPr>
              <w:t>2</w:t>
            </w:r>
          </w:p>
        </w:tc>
        <w:tc>
          <w:tcPr>
            <w:tcW w:w="2245" w:type="dxa"/>
            <w:vAlign w:val="center"/>
          </w:tcPr>
          <w:p>
            <w:pPr>
              <w:widowControl/>
              <w:spacing w:line="240" w:lineRule="exact"/>
              <w:jc w:val="left"/>
              <w:textAlignment w:val="center"/>
              <w:rPr>
                <w:rFonts w:hint="default"/>
                <w:bCs/>
                <w:sz w:val="18"/>
                <w:szCs w:val="18"/>
                <w:lang w:val="en-US" w:eastAsia="zh-CN"/>
              </w:rPr>
            </w:pPr>
            <w:r>
              <w:rPr>
                <w:rFonts w:hint="default"/>
                <w:bCs/>
                <w:sz w:val="18"/>
                <w:szCs w:val="18"/>
              </w:rPr>
              <w:t>承担医院财务科相关工作</w:t>
            </w:r>
          </w:p>
        </w:tc>
        <w:tc>
          <w:tcPr>
            <w:tcW w:w="2858" w:type="dxa"/>
            <w:vAlign w:val="center"/>
          </w:tcPr>
          <w:p>
            <w:pPr>
              <w:widowControl/>
              <w:spacing w:line="240" w:lineRule="exact"/>
              <w:jc w:val="left"/>
              <w:textAlignment w:val="center"/>
              <w:rPr>
                <w:rFonts w:hint="default"/>
                <w:bCs/>
                <w:sz w:val="18"/>
                <w:szCs w:val="18"/>
              </w:rPr>
            </w:pPr>
            <w:r>
              <w:rPr>
                <w:rFonts w:hint="default"/>
                <w:bCs/>
                <w:sz w:val="18"/>
                <w:szCs w:val="18"/>
              </w:rPr>
              <w:t>会计学、财务管理专业；</w:t>
            </w:r>
          </w:p>
          <w:p>
            <w:pPr>
              <w:widowControl/>
              <w:spacing w:line="240" w:lineRule="exact"/>
              <w:jc w:val="left"/>
              <w:textAlignment w:val="center"/>
              <w:rPr>
                <w:rFonts w:hint="default"/>
                <w:bCs/>
                <w:sz w:val="18"/>
                <w:szCs w:val="18"/>
                <w:lang w:val="en-US" w:eastAsia="zh-CN"/>
              </w:rPr>
            </w:pPr>
            <w:r>
              <w:rPr>
                <w:rFonts w:hint="default"/>
                <w:bCs/>
                <w:sz w:val="18"/>
                <w:szCs w:val="18"/>
              </w:rPr>
              <w:t>研究生及以上学历</w:t>
            </w:r>
            <w:r>
              <w:rPr>
                <w:rFonts w:hint="eastAsia"/>
                <w:bCs/>
                <w:sz w:val="18"/>
                <w:szCs w:val="18"/>
                <w:lang w:eastAsia="zh-CN"/>
              </w:rPr>
              <w:t>且</w:t>
            </w:r>
            <w:r>
              <w:rPr>
                <w:rFonts w:hint="default"/>
                <w:bCs/>
                <w:sz w:val="18"/>
                <w:szCs w:val="18"/>
              </w:rPr>
              <w:t>硕士及以上学位。</w:t>
            </w:r>
          </w:p>
        </w:tc>
        <w:tc>
          <w:tcPr>
            <w:tcW w:w="851" w:type="dxa"/>
            <w:vAlign w:val="center"/>
          </w:tcPr>
          <w:p>
            <w:pPr>
              <w:widowControl/>
              <w:spacing w:line="240" w:lineRule="exact"/>
              <w:jc w:val="center"/>
              <w:textAlignment w:val="center"/>
              <w:rPr>
                <w:rFonts w:hint="default"/>
                <w:bCs/>
                <w:sz w:val="18"/>
                <w:szCs w:val="18"/>
                <w:lang w:val="en-US" w:eastAsia="zh-CN"/>
              </w:rPr>
            </w:pPr>
            <w:r>
              <w:rPr>
                <w:rFonts w:hint="eastAsia"/>
                <w:bCs/>
                <w:sz w:val="18"/>
                <w:szCs w:val="18"/>
                <w:lang w:eastAsia="zh-CN"/>
              </w:rPr>
              <w:t>面向全国</w:t>
            </w:r>
          </w:p>
        </w:tc>
        <w:tc>
          <w:tcPr>
            <w:tcW w:w="2385" w:type="dxa"/>
            <w:vAlign w:val="center"/>
          </w:tcPr>
          <w:p>
            <w:pPr>
              <w:widowControl/>
              <w:spacing w:line="240" w:lineRule="exact"/>
              <w:jc w:val="left"/>
              <w:textAlignment w:val="center"/>
              <w:rPr>
                <w:rFonts w:hint="default"/>
                <w:bCs/>
                <w:sz w:val="18"/>
                <w:szCs w:val="18"/>
                <w:lang w:val="en-US" w:eastAsia="zh-CN"/>
              </w:rPr>
            </w:pPr>
            <w:r>
              <w:rPr>
                <w:rFonts w:hint="default"/>
                <w:bCs/>
                <w:sz w:val="18"/>
                <w:szCs w:val="18"/>
              </w:rPr>
              <w:t>2024年普通</w:t>
            </w:r>
            <w:r>
              <w:rPr>
                <w:rFonts w:hint="eastAsia"/>
                <w:bCs/>
                <w:sz w:val="18"/>
                <w:szCs w:val="18"/>
                <w:lang w:eastAsia="zh-CN"/>
              </w:rPr>
              <w:t>高等院校</w:t>
            </w:r>
            <w:r>
              <w:rPr>
                <w:rFonts w:hint="default"/>
                <w:bCs/>
                <w:sz w:val="18"/>
                <w:szCs w:val="18"/>
              </w:rPr>
              <w:t>应届毕业生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jc w:val="center"/>
        </w:trPr>
        <w:tc>
          <w:tcPr>
            <w:tcW w:w="817" w:type="dxa"/>
            <w:vMerge w:val="restart"/>
            <w:vAlign w:val="center"/>
          </w:tcPr>
          <w:p>
            <w:pPr>
              <w:spacing w:line="240" w:lineRule="exact"/>
              <w:jc w:val="center"/>
              <w:rPr>
                <w:sz w:val="18"/>
                <w:szCs w:val="18"/>
              </w:rPr>
            </w:pPr>
            <w:r>
              <w:rPr>
                <w:sz w:val="18"/>
                <w:szCs w:val="18"/>
              </w:rPr>
              <w:t>宁波市</w:t>
            </w:r>
          </w:p>
          <w:p>
            <w:pPr>
              <w:spacing w:line="240" w:lineRule="exact"/>
              <w:jc w:val="center"/>
              <w:rPr>
                <w:sz w:val="18"/>
                <w:szCs w:val="18"/>
              </w:rPr>
            </w:pPr>
            <w:r>
              <w:rPr>
                <w:sz w:val="18"/>
                <w:szCs w:val="18"/>
              </w:rPr>
              <w:t>第二医院</w:t>
            </w:r>
          </w:p>
          <w:p>
            <w:pPr>
              <w:spacing w:line="240" w:lineRule="exact"/>
              <w:jc w:val="center"/>
              <w:rPr>
                <w:rFonts w:hint="default" w:ascii="Times New Roman" w:hAnsi="Times New Roman" w:cs="Times New Roman"/>
                <w:b/>
                <w:color w:val="000000"/>
                <w:sz w:val="18"/>
                <w:szCs w:val="18"/>
              </w:rPr>
            </w:pPr>
            <w:r>
              <w:rPr>
                <w:sz w:val="18"/>
                <w:szCs w:val="18"/>
              </w:rPr>
              <w:t>（</w:t>
            </w:r>
            <w:r>
              <w:rPr>
                <w:rFonts w:hint="eastAsia"/>
                <w:sz w:val="18"/>
                <w:szCs w:val="18"/>
              </w:rPr>
              <w:t>5</w:t>
            </w:r>
            <w:r>
              <w:rPr>
                <w:sz w:val="18"/>
                <w:szCs w:val="18"/>
              </w:rPr>
              <w:t>名）</w:t>
            </w:r>
          </w:p>
        </w:tc>
        <w:tc>
          <w:tcPr>
            <w:tcW w:w="1026" w:type="dxa"/>
            <w:vAlign w:val="center"/>
          </w:tcPr>
          <w:p>
            <w:pPr>
              <w:widowControl/>
              <w:spacing w:line="240" w:lineRule="exact"/>
              <w:jc w:val="center"/>
              <w:textAlignment w:val="center"/>
              <w:rPr>
                <w:rFonts w:hint="default" w:ascii="Times New Roman" w:hAnsi="Times New Roman" w:eastAsia="宋体" w:cs="Times New Roman"/>
                <w:bCs/>
                <w:kern w:val="2"/>
                <w:sz w:val="18"/>
                <w:szCs w:val="18"/>
                <w:lang w:val="en-US" w:eastAsia="zh-CN" w:bidi="ar-SA"/>
              </w:rPr>
            </w:pPr>
            <w:r>
              <w:rPr>
                <w:bCs/>
                <w:sz w:val="18"/>
                <w:szCs w:val="18"/>
              </w:rPr>
              <w:t>宣传</w:t>
            </w:r>
            <w:r>
              <w:rPr>
                <w:rFonts w:hint="eastAsia"/>
                <w:bCs/>
                <w:sz w:val="18"/>
                <w:szCs w:val="18"/>
              </w:rPr>
              <w:t>统战科</w:t>
            </w:r>
          </w:p>
        </w:tc>
        <w:tc>
          <w:tcPr>
            <w:tcW w:w="392" w:type="dxa"/>
            <w:vAlign w:val="center"/>
          </w:tcPr>
          <w:p>
            <w:pPr>
              <w:spacing w:line="240" w:lineRule="exact"/>
              <w:jc w:val="center"/>
              <w:rPr>
                <w:rFonts w:hint="default" w:ascii="Times New Roman" w:hAnsi="Times New Roman" w:eastAsia="宋体" w:cs="Times New Roman"/>
                <w:bCs/>
                <w:kern w:val="2"/>
                <w:sz w:val="18"/>
                <w:szCs w:val="18"/>
                <w:lang w:val="en-US" w:eastAsia="zh-CN" w:bidi="ar-SA"/>
              </w:rPr>
            </w:pPr>
            <w:r>
              <w:rPr>
                <w:bCs/>
                <w:sz w:val="18"/>
                <w:szCs w:val="18"/>
              </w:rPr>
              <w:t>1</w:t>
            </w:r>
          </w:p>
        </w:tc>
        <w:tc>
          <w:tcPr>
            <w:tcW w:w="2245" w:type="dxa"/>
            <w:vAlign w:val="center"/>
          </w:tcPr>
          <w:p>
            <w:pPr>
              <w:spacing w:line="240" w:lineRule="exact"/>
              <w:jc w:val="left"/>
              <w:rPr>
                <w:rFonts w:hint="default" w:ascii="Times New Roman" w:hAnsi="Times New Roman" w:eastAsia="宋体" w:cs="Times New Roman"/>
                <w:bCs/>
                <w:kern w:val="2"/>
                <w:sz w:val="18"/>
                <w:szCs w:val="18"/>
                <w:lang w:val="en-US" w:eastAsia="zh-CN" w:bidi="ar-SA"/>
              </w:rPr>
            </w:pPr>
            <w:r>
              <w:rPr>
                <w:bCs/>
                <w:sz w:val="18"/>
                <w:szCs w:val="18"/>
              </w:rPr>
              <w:t>承担医院宣传相关工作</w:t>
            </w:r>
            <w:r>
              <w:rPr>
                <w:rFonts w:hint="eastAsia"/>
                <w:bCs/>
                <w:sz w:val="18"/>
                <w:szCs w:val="18"/>
              </w:rPr>
              <w:t>。</w:t>
            </w:r>
          </w:p>
        </w:tc>
        <w:tc>
          <w:tcPr>
            <w:tcW w:w="2858" w:type="dxa"/>
            <w:vAlign w:val="center"/>
          </w:tcPr>
          <w:p>
            <w:pPr>
              <w:widowControl/>
              <w:spacing w:line="240" w:lineRule="exact"/>
              <w:jc w:val="left"/>
              <w:textAlignment w:val="center"/>
              <w:rPr>
                <w:bCs/>
                <w:sz w:val="18"/>
                <w:szCs w:val="18"/>
              </w:rPr>
            </w:pPr>
            <w:r>
              <w:rPr>
                <w:rFonts w:hint="eastAsia"/>
                <w:bCs/>
                <w:sz w:val="18"/>
                <w:szCs w:val="18"/>
              </w:rPr>
              <w:t>新闻与传播、新闻传播学、新闻学、传播学、广播电视学专业；</w:t>
            </w:r>
          </w:p>
          <w:p>
            <w:pPr>
              <w:spacing w:line="240" w:lineRule="exact"/>
              <w:rPr>
                <w:rFonts w:hint="default" w:ascii="Times New Roman" w:hAnsi="Times New Roman" w:eastAsia="宋体" w:cs="Times New Roman"/>
                <w:bCs/>
                <w:kern w:val="2"/>
                <w:sz w:val="18"/>
                <w:szCs w:val="18"/>
                <w:lang w:val="en-US" w:eastAsia="zh-CN" w:bidi="ar-SA"/>
              </w:rPr>
            </w:pPr>
            <w:r>
              <w:rPr>
                <w:rFonts w:hint="eastAsia"/>
                <w:bCs/>
                <w:sz w:val="18"/>
                <w:szCs w:val="18"/>
              </w:rPr>
              <w:t>研究生及以上学历且硕士及以上学位。</w:t>
            </w:r>
          </w:p>
        </w:tc>
        <w:tc>
          <w:tcPr>
            <w:tcW w:w="851" w:type="dxa"/>
            <w:vMerge w:val="restart"/>
            <w:vAlign w:val="center"/>
          </w:tcPr>
          <w:p>
            <w:pPr>
              <w:spacing w:line="240" w:lineRule="exact"/>
              <w:jc w:val="center"/>
              <w:rPr>
                <w:rFonts w:hint="default" w:ascii="Times New Roman" w:hAnsi="Times New Roman" w:cs="Times New Roman"/>
                <w:b/>
                <w:color w:val="000000"/>
                <w:sz w:val="18"/>
                <w:szCs w:val="18"/>
              </w:rPr>
            </w:pPr>
            <w:r>
              <w:rPr>
                <w:color w:val="000000"/>
                <w:sz w:val="18"/>
                <w:szCs w:val="18"/>
              </w:rPr>
              <w:t>面向全国</w:t>
            </w:r>
          </w:p>
        </w:tc>
        <w:tc>
          <w:tcPr>
            <w:tcW w:w="2385" w:type="dxa"/>
            <w:vAlign w:val="center"/>
          </w:tcPr>
          <w:p>
            <w:pPr>
              <w:spacing w:line="240" w:lineRule="exact"/>
              <w:jc w:val="left"/>
              <w:rPr>
                <w:rFonts w:hint="eastAsia"/>
                <w:bCs/>
                <w:color w:val="000000"/>
                <w:kern w:val="0"/>
                <w:sz w:val="18"/>
                <w:szCs w:val="18"/>
              </w:rPr>
            </w:pPr>
            <w:r>
              <w:rPr>
                <w:rFonts w:hint="eastAsia"/>
                <w:color w:val="000000"/>
                <w:sz w:val="18"/>
                <w:szCs w:val="18"/>
                <w:lang w:val="en-US" w:eastAsia="zh-CN"/>
              </w:rPr>
              <w:t>1.</w:t>
            </w:r>
            <w:r>
              <w:rPr>
                <w:color w:val="000000"/>
                <w:sz w:val="18"/>
                <w:szCs w:val="18"/>
              </w:rPr>
              <w:t>2024年</w:t>
            </w:r>
            <w:r>
              <w:rPr>
                <w:bCs/>
                <w:color w:val="000000"/>
                <w:kern w:val="0"/>
                <w:sz w:val="18"/>
                <w:szCs w:val="18"/>
              </w:rPr>
              <w:t>普通高等院校应届毕业生</w:t>
            </w:r>
            <w:r>
              <w:rPr>
                <w:rFonts w:hint="eastAsia"/>
                <w:bCs/>
                <w:color w:val="000000"/>
                <w:kern w:val="0"/>
                <w:sz w:val="18"/>
                <w:szCs w:val="18"/>
              </w:rPr>
              <w:t>；</w:t>
            </w:r>
          </w:p>
          <w:p>
            <w:pPr>
              <w:spacing w:line="240" w:lineRule="exact"/>
              <w:jc w:val="left"/>
              <w:rPr>
                <w:color w:val="000000"/>
                <w:sz w:val="18"/>
                <w:szCs w:val="18"/>
              </w:rPr>
            </w:pPr>
            <w:r>
              <w:rPr>
                <w:rFonts w:hint="eastAsia"/>
                <w:bCs/>
                <w:color w:val="000000"/>
                <w:kern w:val="0"/>
                <w:sz w:val="18"/>
                <w:szCs w:val="18"/>
                <w:lang w:val="en-US" w:eastAsia="zh-CN"/>
              </w:rPr>
              <w:t>2.</w:t>
            </w:r>
            <w:r>
              <w:rPr>
                <w:rFonts w:hint="eastAsia"/>
                <w:bCs/>
                <w:color w:val="000000"/>
                <w:kern w:val="0"/>
                <w:sz w:val="18"/>
                <w:szCs w:val="18"/>
              </w:rPr>
              <w:t>中共党员。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vAlign w:val="center"/>
          </w:tcPr>
          <w:p>
            <w:pPr>
              <w:spacing w:line="240" w:lineRule="exact"/>
              <w:jc w:val="center"/>
              <w:rPr>
                <w:rFonts w:hint="default" w:ascii="Times New Roman" w:hAnsi="Times New Roman" w:cs="Times New Roman"/>
                <w:sz w:val="18"/>
                <w:szCs w:val="18"/>
              </w:rPr>
            </w:pPr>
          </w:p>
        </w:tc>
        <w:tc>
          <w:tcPr>
            <w:tcW w:w="1026" w:type="dxa"/>
            <w:vAlign w:val="center"/>
          </w:tcPr>
          <w:p>
            <w:pPr>
              <w:spacing w:line="240" w:lineRule="exact"/>
              <w:jc w:val="center"/>
              <w:rPr>
                <w:rFonts w:hint="default" w:ascii="Times New Roman" w:hAnsi="Times New Roman" w:eastAsia="宋体" w:cs="Times New Roman"/>
                <w:kern w:val="2"/>
                <w:sz w:val="18"/>
                <w:szCs w:val="18"/>
                <w:lang w:val="en-US" w:eastAsia="zh-CN" w:bidi="ar-SA"/>
              </w:rPr>
            </w:pPr>
            <w:r>
              <w:rPr>
                <w:rFonts w:hint="eastAsia"/>
                <w:sz w:val="18"/>
                <w:szCs w:val="18"/>
              </w:rPr>
              <w:t>信息科</w:t>
            </w:r>
          </w:p>
        </w:tc>
        <w:tc>
          <w:tcPr>
            <w:tcW w:w="392" w:type="dxa"/>
            <w:vAlign w:val="center"/>
          </w:tcPr>
          <w:p>
            <w:pPr>
              <w:spacing w:line="240" w:lineRule="exact"/>
              <w:jc w:val="center"/>
              <w:rPr>
                <w:rFonts w:hint="default" w:ascii="Times New Roman" w:hAnsi="Times New Roman" w:eastAsia="宋体" w:cs="Times New Roman"/>
                <w:kern w:val="2"/>
                <w:sz w:val="18"/>
                <w:szCs w:val="18"/>
                <w:lang w:val="en-US" w:eastAsia="zh-CN" w:bidi="ar-SA"/>
              </w:rPr>
            </w:pPr>
            <w:r>
              <w:rPr>
                <w:rFonts w:hint="eastAsia"/>
                <w:sz w:val="18"/>
                <w:szCs w:val="18"/>
              </w:rPr>
              <w:t>2</w:t>
            </w:r>
          </w:p>
        </w:tc>
        <w:tc>
          <w:tcPr>
            <w:tcW w:w="2245" w:type="dxa"/>
            <w:vAlign w:val="center"/>
          </w:tcPr>
          <w:p>
            <w:pPr>
              <w:spacing w:before="100" w:after="100" w:line="240" w:lineRule="exact"/>
              <w:jc w:val="left"/>
              <w:rPr>
                <w:rFonts w:hint="default" w:ascii="宋体" w:hAnsi="宋体" w:eastAsia="宋体" w:cs="Times New Roman"/>
                <w:kern w:val="2"/>
                <w:sz w:val="18"/>
                <w:szCs w:val="18"/>
                <w:lang w:val="en-US" w:eastAsia="zh-CN" w:bidi="ar-SA"/>
              </w:rPr>
            </w:pPr>
            <w:r>
              <w:rPr>
                <w:rFonts w:hint="eastAsia" w:ascii="宋体" w:hAnsi="宋体" w:cs="宋体"/>
                <w:sz w:val="18"/>
                <w:szCs w:val="18"/>
              </w:rPr>
              <w:t>承担医院信息化、数字化及其应用各项工作。</w:t>
            </w:r>
          </w:p>
        </w:tc>
        <w:tc>
          <w:tcPr>
            <w:tcW w:w="2858" w:type="dxa"/>
            <w:vAlign w:val="center"/>
          </w:tcPr>
          <w:p>
            <w:pPr>
              <w:spacing w:line="240" w:lineRule="exact"/>
              <w:jc w:val="left"/>
              <w:rPr>
                <w:rFonts w:ascii="宋体" w:hAnsi="宋体" w:cs="宋体"/>
                <w:sz w:val="18"/>
                <w:szCs w:val="18"/>
              </w:rPr>
            </w:pPr>
            <w:r>
              <w:rPr>
                <w:rFonts w:hint="eastAsia" w:ascii="宋体" w:hAnsi="宋体" w:cs="宋体"/>
                <w:kern w:val="0"/>
                <w:sz w:val="18"/>
                <w:szCs w:val="18"/>
              </w:rPr>
              <w:t>软件工程、计算机科学与技术</w:t>
            </w:r>
            <w:r>
              <w:rPr>
                <w:rFonts w:hint="eastAsia" w:ascii="宋体" w:hAnsi="宋体" w:cs="宋体"/>
                <w:sz w:val="18"/>
                <w:szCs w:val="18"/>
              </w:rPr>
              <w:t>专业；</w:t>
            </w:r>
          </w:p>
          <w:p>
            <w:pPr>
              <w:spacing w:line="240" w:lineRule="exact"/>
              <w:jc w:val="left"/>
              <w:rPr>
                <w:rFonts w:hint="default" w:ascii="宋体" w:hAnsi="宋体" w:eastAsia="宋体" w:cs="宋体"/>
                <w:kern w:val="2"/>
                <w:sz w:val="18"/>
                <w:szCs w:val="18"/>
                <w:lang w:val="en-US" w:eastAsia="zh-CN" w:bidi="ar-SA"/>
              </w:rPr>
            </w:pPr>
            <w:r>
              <w:rPr>
                <w:sz w:val="18"/>
                <w:szCs w:val="18"/>
              </w:rPr>
              <w:t>研究生及以上学历</w:t>
            </w:r>
            <w:r>
              <w:rPr>
                <w:rFonts w:hint="eastAsia"/>
                <w:sz w:val="18"/>
                <w:szCs w:val="18"/>
              </w:rPr>
              <w:t>且</w:t>
            </w:r>
            <w:r>
              <w:rPr>
                <w:sz w:val="18"/>
                <w:szCs w:val="18"/>
              </w:rPr>
              <w:t>硕士及以上学位。</w:t>
            </w:r>
          </w:p>
        </w:tc>
        <w:tc>
          <w:tcPr>
            <w:tcW w:w="851" w:type="dxa"/>
            <w:vMerge w:val="continue"/>
            <w:vAlign w:val="center"/>
          </w:tcPr>
          <w:p>
            <w:pPr>
              <w:spacing w:line="240" w:lineRule="exact"/>
              <w:jc w:val="center"/>
              <w:rPr>
                <w:rFonts w:hint="default" w:ascii="Times New Roman" w:hAnsi="Times New Roman" w:cs="Times New Roman"/>
                <w:b/>
                <w:color w:val="000000"/>
                <w:sz w:val="18"/>
                <w:szCs w:val="18"/>
              </w:rPr>
            </w:pPr>
          </w:p>
        </w:tc>
        <w:tc>
          <w:tcPr>
            <w:tcW w:w="2385" w:type="dxa"/>
            <w:vMerge w:val="restart"/>
            <w:vAlign w:val="center"/>
          </w:tcPr>
          <w:p>
            <w:pPr>
              <w:spacing w:line="240" w:lineRule="exact"/>
              <w:jc w:val="left"/>
              <w:rPr>
                <w:rFonts w:hint="default" w:ascii="Times New Roman" w:hAnsi="Times New Roman" w:eastAsia="宋体" w:cs="Times New Roman"/>
                <w:bCs/>
                <w:kern w:val="2"/>
                <w:sz w:val="18"/>
                <w:szCs w:val="18"/>
                <w:lang w:val="en-US" w:eastAsia="zh-CN" w:bidi="ar-SA"/>
              </w:rPr>
            </w:pPr>
            <w:r>
              <w:rPr>
                <w:color w:val="000000"/>
                <w:sz w:val="18"/>
                <w:szCs w:val="18"/>
              </w:rPr>
              <w:t>2024年</w:t>
            </w:r>
            <w:r>
              <w:rPr>
                <w:bCs/>
                <w:color w:val="000000"/>
                <w:kern w:val="0"/>
                <w:sz w:val="18"/>
                <w:szCs w:val="18"/>
              </w:rPr>
              <w:t>普通</w:t>
            </w:r>
            <w:r>
              <w:rPr>
                <w:rFonts w:hint="eastAsia"/>
                <w:bCs/>
                <w:sz w:val="18"/>
                <w:szCs w:val="18"/>
                <w:lang w:eastAsia="zh-CN"/>
              </w:rPr>
              <w:t>高等院校</w:t>
            </w:r>
            <w:r>
              <w:rPr>
                <w:bCs/>
                <w:color w:val="000000"/>
                <w:kern w:val="0"/>
                <w:sz w:val="18"/>
                <w:szCs w:val="18"/>
              </w:rPr>
              <w:t>应届毕业生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vAlign w:val="center"/>
          </w:tcPr>
          <w:p>
            <w:pPr>
              <w:spacing w:line="240" w:lineRule="exact"/>
              <w:jc w:val="center"/>
              <w:rPr>
                <w:rFonts w:hint="default" w:ascii="Times New Roman" w:hAnsi="Times New Roman" w:cs="Times New Roman"/>
                <w:sz w:val="18"/>
                <w:szCs w:val="18"/>
              </w:rPr>
            </w:pPr>
          </w:p>
        </w:tc>
        <w:tc>
          <w:tcPr>
            <w:tcW w:w="1026" w:type="dxa"/>
            <w:vAlign w:val="center"/>
          </w:tcPr>
          <w:p>
            <w:pPr>
              <w:spacing w:line="240" w:lineRule="exact"/>
              <w:jc w:val="center"/>
              <w:rPr>
                <w:rFonts w:hint="default" w:ascii="Times New Roman" w:hAnsi="Times New Roman" w:eastAsia="宋体" w:cs="Times New Roman"/>
                <w:kern w:val="2"/>
                <w:sz w:val="18"/>
                <w:szCs w:val="18"/>
                <w:lang w:val="en-US" w:eastAsia="zh-CN" w:bidi="ar-SA"/>
              </w:rPr>
            </w:pPr>
            <w:r>
              <w:rPr>
                <w:sz w:val="18"/>
                <w:szCs w:val="18"/>
              </w:rPr>
              <w:t>医学装备</w:t>
            </w:r>
            <w:r>
              <w:rPr>
                <w:rFonts w:hint="eastAsia"/>
                <w:sz w:val="18"/>
                <w:szCs w:val="18"/>
              </w:rPr>
              <w:t>科</w:t>
            </w:r>
          </w:p>
        </w:tc>
        <w:tc>
          <w:tcPr>
            <w:tcW w:w="392" w:type="dxa"/>
            <w:vAlign w:val="center"/>
          </w:tcPr>
          <w:p>
            <w:pPr>
              <w:spacing w:line="240" w:lineRule="exact"/>
              <w:jc w:val="center"/>
              <w:rPr>
                <w:rFonts w:hint="default" w:ascii="Times New Roman" w:hAnsi="Times New Roman" w:eastAsia="宋体" w:cs="Times New Roman"/>
                <w:kern w:val="2"/>
                <w:sz w:val="18"/>
                <w:szCs w:val="18"/>
                <w:lang w:val="en-US" w:eastAsia="zh-CN" w:bidi="ar-SA"/>
              </w:rPr>
            </w:pPr>
            <w:r>
              <w:rPr>
                <w:sz w:val="18"/>
                <w:szCs w:val="18"/>
              </w:rPr>
              <w:t>1</w:t>
            </w:r>
          </w:p>
        </w:tc>
        <w:tc>
          <w:tcPr>
            <w:tcW w:w="2245" w:type="dxa"/>
            <w:vAlign w:val="center"/>
          </w:tcPr>
          <w:p>
            <w:pPr>
              <w:spacing w:line="240" w:lineRule="exact"/>
              <w:jc w:val="left"/>
              <w:rPr>
                <w:rFonts w:hint="default" w:ascii="Times New Roman" w:hAnsi="Times New Roman" w:eastAsia="宋体" w:cs="Times New Roman"/>
                <w:kern w:val="2"/>
                <w:sz w:val="18"/>
                <w:szCs w:val="18"/>
                <w:lang w:val="en-US" w:eastAsia="zh-CN" w:bidi="ar-SA"/>
              </w:rPr>
            </w:pPr>
            <w:r>
              <w:rPr>
                <w:color w:val="000000"/>
                <w:sz w:val="18"/>
                <w:szCs w:val="18"/>
              </w:rPr>
              <w:t>承担医院</w:t>
            </w:r>
            <w:r>
              <w:rPr>
                <w:color w:val="000000"/>
                <w:kern w:val="0"/>
                <w:sz w:val="18"/>
                <w:szCs w:val="18"/>
              </w:rPr>
              <w:t>医疗设备维修</w:t>
            </w:r>
            <w:r>
              <w:rPr>
                <w:rFonts w:hint="eastAsia"/>
                <w:color w:val="000000"/>
                <w:kern w:val="0"/>
                <w:sz w:val="18"/>
                <w:szCs w:val="18"/>
              </w:rPr>
              <w:t>及管理工作</w:t>
            </w:r>
            <w:r>
              <w:rPr>
                <w:color w:val="000000"/>
                <w:kern w:val="0"/>
                <w:sz w:val="18"/>
                <w:szCs w:val="18"/>
              </w:rPr>
              <w:t>。</w:t>
            </w:r>
          </w:p>
        </w:tc>
        <w:tc>
          <w:tcPr>
            <w:tcW w:w="2858" w:type="dxa"/>
            <w:tcBorders>
              <w:bottom w:val="single" w:color="auto" w:sz="4" w:space="0"/>
            </w:tcBorders>
            <w:vAlign w:val="center"/>
          </w:tcPr>
          <w:p>
            <w:pPr>
              <w:spacing w:line="240" w:lineRule="exact"/>
              <w:jc w:val="left"/>
              <w:rPr>
                <w:sz w:val="18"/>
                <w:szCs w:val="18"/>
              </w:rPr>
            </w:pPr>
            <w:r>
              <w:rPr>
                <w:sz w:val="18"/>
                <w:szCs w:val="18"/>
              </w:rPr>
              <w:t>生物医学工程专业；</w:t>
            </w:r>
          </w:p>
          <w:p>
            <w:pPr>
              <w:spacing w:line="240" w:lineRule="exact"/>
              <w:rPr>
                <w:rFonts w:hint="default" w:ascii="Times New Roman" w:hAnsi="Times New Roman" w:eastAsia="宋体" w:cs="Times New Roman"/>
                <w:kern w:val="2"/>
                <w:sz w:val="18"/>
                <w:szCs w:val="18"/>
                <w:lang w:val="en-US" w:eastAsia="zh-CN" w:bidi="ar-SA"/>
              </w:rPr>
            </w:pPr>
            <w:r>
              <w:rPr>
                <w:sz w:val="18"/>
                <w:szCs w:val="18"/>
              </w:rPr>
              <w:t>研究生及以上学历</w:t>
            </w:r>
            <w:r>
              <w:rPr>
                <w:rFonts w:hint="eastAsia"/>
                <w:sz w:val="18"/>
                <w:szCs w:val="18"/>
              </w:rPr>
              <w:t>且</w:t>
            </w:r>
            <w:r>
              <w:rPr>
                <w:sz w:val="18"/>
                <w:szCs w:val="18"/>
              </w:rPr>
              <w:t>硕士及以上学位。</w:t>
            </w:r>
          </w:p>
        </w:tc>
        <w:tc>
          <w:tcPr>
            <w:tcW w:w="851" w:type="dxa"/>
            <w:vMerge w:val="continue"/>
            <w:vAlign w:val="center"/>
          </w:tcPr>
          <w:p>
            <w:pPr>
              <w:spacing w:line="240" w:lineRule="exact"/>
              <w:jc w:val="center"/>
              <w:rPr>
                <w:rFonts w:hint="default" w:ascii="Times New Roman" w:hAnsi="Times New Roman" w:cs="Times New Roman"/>
                <w:b/>
                <w:color w:val="000000"/>
                <w:sz w:val="18"/>
                <w:szCs w:val="18"/>
              </w:rPr>
            </w:pPr>
          </w:p>
        </w:tc>
        <w:tc>
          <w:tcPr>
            <w:tcW w:w="2385" w:type="dxa"/>
            <w:vMerge w:val="continue"/>
            <w:vAlign w:val="center"/>
          </w:tcPr>
          <w:p>
            <w:pPr>
              <w:spacing w:line="240" w:lineRule="exact"/>
              <w:jc w:val="left"/>
              <w:rPr>
                <w:rFonts w:hint="default" w:ascii="Times New Roman" w:hAnsi="Times New Roman" w:cs="Times New Roman"/>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vAlign w:val="center"/>
          </w:tcPr>
          <w:p>
            <w:pPr>
              <w:spacing w:line="240" w:lineRule="exact"/>
              <w:jc w:val="center"/>
              <w:rPr>
                <w:rFonts w:hint="default" w:ascii="Times New Roman" w:hAnsi="Times New Roman" w:cs="Times New Roman"/>
                <w:sz w:val="18"/>
                <w:szCs w:val="18"/>
              </w:rPr>
            </w:pPr>
          </w:p>
        </w:tc>
        <w:tc>
          <w:tcPr>
            <w:tcW w:w="1026" w:type="dxa"/>
            <w:vAlign w:val="center"/>
          </w:tcPr>
          <w:p>
            <w:pPr>
              <w:spacing w:line="240" w:lineRule="exact"/>
              <w:jc w:val="center"/>
              <w:rPr>
                <w:rFonts w:hint="eastAsia"/>
                <w:sz w:val="18"/>
                <w:szCs w:val="18"/>
              </w:rPr>
            </w:pPr>
            <w:r>
              <w:rPr>
                <w:rFonts w:hint="eastAsia"/>
                <w:sz w:val="18"/>
                <w:szCs w:val="18"/>
              </w:rPr>
              <w:t>法务</w:t>
            </w:r>
          </w:p>
          <w:p>
            <w:pPr>
              <w:spacing w:line="240" w:lineRule="exact"/>
              <w:jc w:val="center"/>
              <w:rPr>
                <w:rFonts w:hint="eastAsia" w:eastAsia="宋体"/>
                <w:sz w:val="18"/>
                <w:szCs w:val="18"/>
                <w:lang w:val="en-US" w:eastAsia="zh-CN"/>
              </w:rPr>
            </w:pPr>
            <w:r>
              <w:rPr>
                <w:rFonts w:hint="eastAsia"/>
                <w:sz w:val="18"/>
                <w:szCs w:val="18"/>
                <w:lang w:eastAsia="zh-CN"/>
              </w:rPr>
              <w:t>（历届）</w:t>
            </w:r>
          </w:p>
        </w:tc>
        <w:tc>
          <w:tcPr>
            <w:tcW w:w="392" w:type="dxa"/>
            <w:vAlign w:val="center"/>
          </w:tcPr>
          <w:p>
            <w:pPr>
              <w:spacing w:line="240" w:lineRule="exact"/>
              <w:jc w:val="center"/>
              <w:rPr>
                <w:rFonts w:hint="default" w:ascii="Times New Roman" w:hAnsi="Times New Roman" w:eastAsia="宋体" w:cs="Times New Roman"/>
                <w:kern w:val="2"/>
                <w:sz w:val="18"/>
                <w:szCs w:val="18"/>
                <w:lang w:val="en-US" w:eastAsia="zh-CN" w:bidi="ar-SA"/>
              </w:rPr>
            </w:pPr>
            <w:r>
              <w:rPr>
                <w:rFonts w:hint="eastAsia"/>
                <w:sz w:val="18"/>
                <w:szCs w:val="18"/>
              </w:rPr>
              <w:t>1</w:t>
            </w:r>
          </w:p>
        </w:tc>
        <w:tc>
          <w:tcPr>
            <w:tcW w:w="2245" w:type="dxa"/>
            <w:vAlign w:val="center"/>
          </w:tcPr>
          <w:p>
            <w:pPr>
              <w:spacing w:line="240" w:lineRule="exact"/>
              <w:jc w:val="left"/>
              <w:rPr>
                <w:rFonts w:hint="default" w:ascii="Times New Roman" w:hAnsi="Times New Roman" w:eastAsia="宋体" w:cs="Times New Roman"/>
                <w:color w:val="000000"/>
                <w:kern w:val="2"/>
                <w:sz w:val="18"/>
                <w:szCs w:val="18"/>
                <w:lang w:val="en-US" w:eastAsia="zh-CN" w:bidi="ar-SA"/>
              </w:rPr>
            </w:pPr>
            <w:r>
              <w:rPr>
                <w:rFonts w:hint="eastAsia"/>
                <w:color w:val="000000"/>
                <w:sz w:val="18"/>
                <w:szCs w:val="18"/>
              </w:rPr>
              <w:t>承担法律咨询及相关法务工作。</w:t>
            </w:r>
          </w:p>
        </w:tc>
        <w:tc>
          <w:tcPr>
            <w:tcW w:w="2858" w:type="dxa"/>
            <w:tcBorders>
              <w:bottom w:val="single" w:color="auto" w:sz="4" w:space="0"/>
            </w:tcBorders>
            <w:vAlign w:val="center"/>
          </w:tcPr>
          <w:p>
            <w:pPr>
              <w:spacing w:line="240" w:lineRule="exact"/>
              <w:jc w:val="left"/>
              <w:rPr>
                <w:rFonts w:ascii="宋体" w:hAnsi="宋体" w:cs="宋体"/>
                <w:sz w:val="18"/>
                <w:szCs w:val="18"/>
              </w:rPr>
            </w:pPr>
            <w:r>
              <w:rPr>
                <w:rFonts w:hint="eastAsia" w:ascii="宋体" w:hAnsi="宋体" w:cs="宋体"/>
                <w:sz w:val="18"/>
                <w:szCs w:val="18"/>
              </w:rPr>
              <w:t>法学类专业；</w:t>
            </w:r>
          </w:p>
          <w:p>
            <w:pPr>
              <w:spacing w:line="240" w:lineRule="exact"/>
              <w:jc w:val="left"/>
              <w:rPr>
                <w:rFonts w:hint="default" w:ascii="宋体" w:hAnsi="宋体" w:eastAsia="宋体" w:cs="宋体"/>
                <w:kern w:val="2"/>
                <w:sz w:val="18"/>
                <w:szCs w:val="18"/>
                <w:lang w:val="en-US" w:eastAsia="zh-CN" w:bidi="ar-SA"/>
              </w:rPr>
            </w:pPr>
            <w:r>
              <w:rPr>
                <w:rFonts w:hint="eastAsia" w:ascii="宋体" w:hAnsi="宋体" w:cs="宋体"/>
                <w:sz w:val="18"/>
                <w:szCs w:val="18"/>
              </w:rPr>
              <w:t>研究生及以上学历且硕士及以上学位。</w:t>
            </w:r>
          </w:p>
        </w:tc>
        <w:tc>
          <w:tcPr>
            <w:tcW w:w="851" w:type="dxa"/>
            <w:vMerge w:val="continue"/>
            <w:vAlign w:val="center"/>
          </w:tcPr>
          <w:p>
            <w:pPr>
              <w:spacing w:line="240" w:lineRule="exact"/>
              <w:jc w:val="center"/>
              <w:rPr>
                <w:rFonts w:hint="default" w:ascii="Times New Roman" w:hAnsi="Times New Roman" w:cs="Times New Roman"/>
                <w:kern w:val="0"/>
                <w:sz w:val="18"/>
                <w:szCs w:val="18"/>
              </w:rPr>
            </w:pPr>
          </w:p>
        </w:tc>
        <w:tc>
          <w:tcPr>
            <w:tcW w:w="2385" w:type="dxa"/>
            <w:vAlign w:val="center"/>
          </w:tcPr>
          <w:p>
            <w:pPr>
              <w:spacing w:line="240" w:lineRule="exact"/>
              <w:jc w:val="left"/>
              <w:rPr>
                <w:rFonts w:hint="default" w:ascii="Times New Roman" w:hAnsi="Times New Roman" w:eastAsia="宋体" w:cs="Times New Roman"/>
                <w:bCs/>
                <w:kern w:val="2"/>
                <w:sz w:val="18"/>
                <w:szCs w:val="18"/>
                <w:lang w:val="en-US" w:eastAsia="zh-CN" w:bidi="ar-SA"/>
              </w:rPr>
            </w:pPr>
            <w:r>
              <w:rPr>
                <w:rFonts w:hint="eastAsia"/>
                <w:bCs/>
                <w:sz w:val="18"/>
                <w:szCs w:val="18"/>
                <w:lang w:val="en-US" w:eastAsia="zh-CN"/>
              </w:rPr>
              <w:t>1.</w:t>
            </w:r>
            <w:r>
              <w:rPr>
                <w:rFonts w:hint="eastAsia"/>
                <w:bCs/>
                <w:sz w:val="18"/>
                <w:szCs w:val="18"/>
              </w:rPr>
              <w:t>具有3年</w:t>
            </w:r>
            <w:r>
              <w:rPr>
                <w:rFonts w:hint="eastAsia"/>
                <w:bCs/>
                <w:sz w:val="18"/>
                <w:szCs w:val="18"/>
                <w:lang w:eastAsia="zh-CN"/>
              </w:rPr>
              <w:t>及</w:t>
            </w:r>
            <w:r>
              <w:rPr>
                <w:rFonts w:hint="eastAsia"/>
                <w:bCs/>
                <w:sz w:val="18"/>
                <w:szCs w:val="18"/>
              </w:rPr>
              <w:t>以上法务相关工作经验；</w:t>
            </w:r>
            <w:r>
              <w:rPr>
                <w:rFonts w:hint="eastAsia"/>
                <w:bCs/>
                <w:sz w:val="18"/>
                <w:szCs w:val="18"/>
                <w:lang w:val="en-US" w:eastAsia="zh-CN"/>
              </w:rPr>
              <w:t>2.</w:t>
            </w:r>
            <w:r>
              <w:rPr>
                <w:rFonts w:hint="eastAsia"/>
                <w:bCs/>
                <w:sz w:val="18"/>
                <w:szCs w:val="18"/>
              </w:rPr>
              <w:t>具有法律职业资格证和律师执业证；</w:t>
            </w:r>
            <w:r>
              <w:rPr>
                <w:rFonts w:hint="eastAsia"/>
                <w:bCs/>
                <w:sz w:val="18"/>
                <w:szCs w:val="18"/>
                <w:lang w:val="en-US" w:eastAsia="zh-CN"/>
              </w:rPr>
              <w:t>3.历届生，</w:t>
            </w:r>
            <w:r>
              <w:rPr>
                <w:rFonts w:hint="eastAsia"/>
                <w:bCs/>
                <w:sz w:val="18"/>
                <w:szCs w:val="18"/>
              </w:rPr>
              <w:t>年龄3</w:t>
            </w:r>
            <w:r>
              <w:rPr>
                <w:bCs/>
                <w:sz w:val="18"/>
                <w:szCs w:val="18"/>
              </w:rPr>
              <w:t>5</w:t>
            </w:r>
            <w:r>
              <w:rPr>
                <w:rFonts w:hint="eastAsia"/>
                <w:bCs/>
                <w:sz w:val="18"/>
                <w:szCs w:val="18"/>
              </w:rPr>
              <w:t>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restart"/>
            <w:vAlign w:val="center"/>
          </w:tcPr>
          <w:p>
            <w:pPr>
              <w:spacing w:line="240" w:lineRule="exact"/>
              <w:jc w:val="center"/>
              <w:rPr>
                <w:rFonts w:hint="eastAsia" w:ascii="宋体" w:hAnsi="宋体" w:cs="宋体"/>
                <w:sz w:val="18"/>
                <w:szCs w:val="18"/>
              </w:rPr>
            </w:pPr>
            <w:r>
              <w:rPr>
                <w:rFonts w:hint="eastAsia" w:ascii="宋体" w:hAnsi="宋体" w:cs="宋体"/>
                <w:sz w:val="18"/>
                <w:szCs w:val="18"/>
              </w:rPr>
              <w:t>宁波</w:t>
            </w:r>
            <w:r>
              <w:rPr>
                <w:rFonts w:hint="eastAsia" w:ascii="宋体" w:hAnsi="宋体" w:cs="宋体"/>
                <w:sz w:val="18"/>
                <w:szCs w:val="18"/>
                <w:lang w:val="en-US" w:eastAsia="zh-CN"/>
              </w:rPr>
              <w:t>大学附属</w:t>
            </w:r>
            <w:r>
              <w:rPr>
                <w:rFonts w:hint="eastAsia" w:ascii="宋体" w:hAnsi="宋体" w:cs="宋体"/>
                <w:sz w:val="18"/>
                <w:szCs w:val="18"/>
              </w:rPr>
              <w:t>妇女儿童医院</w:t>
            </w:r>
          </w:p>
          <w:p>
            <w:pPr>
              <w:spacing w:line="240" w:lineRule="exact"/>
              <w:jc w:val="center"/>
              <w:rPr>
                <w:rFonts w:hint="default" w:ascii="Times New Roman" w:hAnsi="Times New Roman" w:cs="Times New Roman"/>
                <w:bCs/>
                <w:sz w:val="18"/>
                <w:szCs w:val="18"/>
              </w:rPr>
            </w:pPr>
            <w:r>
              <w:rPr>
                <w:rFonts w:hint="eastAsia" w:ascii="宋体" w:hAnsi="宋体" w:cs="宋体"/>
                <w:sz w:val="18"/>
                <w:szCs w:val="18"/>
              </w:rPr>
              <w:t>（</w:t>
            </w:r>
            <w:r>
              <w:rPr>
                <w:rFonts w:hint="eastAsia" w:ascii="宋体" w:hAnsi="宋体" w:cs="宋体"/>
                <w:sz w:val="18"/>
                <w:szCs w:val="18"/>
                <w:lang w:val="en-US" w:eastAsia="zh-CN"/>
              </w:rPr>
              <w:t xml:space="preserve"> 3</w:t>
            </w:r>
            <w:r>
              <w:rPr>
                <w:rFonts w:hint="eastAsia" w:ascii="宋体" w:hAnsi="宋体" w:cs="宋体"/>
                <w:sz w:val="18"/>
                <w:szCs w:val="18"/>
              </w:rPr>
              <w:t>名）</w:t>
            </w:r>
          </w:p>
        </w:tc>
        <w:tc>
          <w:tcPr>
            <w:tcW w:w="1026" w:type="dxa"/>
            <w:vAlign w:val="center"/>
          </w:tcPr>
          <w:p>
            <w:pPr>
              <w:spacing w:line="24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耳鼻咽喉科听力室</w:t>
            </w:r>
          </w:p>
          <w:p>
            <w:pPr>
              <w:spacing w:line="240" w:lineRule="exact"/>
              <w:jc w:val="center"/>
              <w:rPr>
                <w:rFonts w:hint="default" w:ascii="宋体" w:hAnsi="宋体" w:eastAsia="宋体" w:cs="Times New Roman"/>
                <w:kern w:val="2"/>
                <w:sz w:val="18"/>
                <w:szCs w:val="18"/>
                <w:lang w:val="en-US" w:eastAsia="zh-CN" w:bidi="ar-SA"/>
              </w:rPr>
            </w:pPr>
            <w:r>
              <w:rPr>
                <w:rFonts w:hint="eastAsia" w:ascii="宋体" w:hAnsi="宋体" w:eastAsia="宋体"/>
                <w:sz w:val="18"/>
                <w:szCs w:val="18"/>
                <w:lang w:val="en-US" w:eastAsia="zh-CN"/>
              </w:rPr>
              <w:t>（历届）</w:t>
            </w:r>
          </w:p>
        </w:tc>
        <w:tc>
          <w:tcPr>
            <w:tcW w:w="392" w:type="dxa"/>
            <w:vAlign w:val="center"/>
          </w:tcPr>
          <w:p>
            <w:pPr>
              <w:spacing w:line="240" w:lineRule="exact"/>
              <w:jc w:val="center"/>
              <w:rPr>
                <w:rFonts w:hint="default" w:ascii="宋体" w:hAnsi="宋体" w:eastAsia="宋体" w:cs="Times New Roman"/>
                <w:kern w:val="2"/>
                <w:sz w:val="18"/>
                <w:szCs w:val="18"/>
                <w:lang w:val="en-US" w:eastAsia="zh-CN" w:bidi="ar-SA"/>
              </w:rPr>
            </w:pPr>
            <w:r>
              <w:rPr>
                <w:rFonts w:hint="eastAsia" w:ascii="宋体" w:hAnsi="宋体" w:eastAsia="宋体"/>
                <w:sz w:val="18"/>
                <w:szCs w:val="18"/>
                <w:lang w:val="en-US" w:eastAsia="zh-CN"/>
              </w:rPr>
              <w:t>1</w:t>
            </w:r>
          </w:p>
        </w:tc>
        <w:tc>
          <w:tcPr>
            <w:tcW w:w="2245" w:type="dxa"/>
            <w:vAlign w:val="center"/>
          </w:tcPr>
          <w:p>
            <w:pPr>
              <w:spacing w:line="240" w:lineRule="exact"/>
              <w:rPr>
                <w:rFonts w:hint="default" w:ascii="宋体" w:hAnsi="Times New Roman" w:eastAsia="宋体" w:cs="宋体"/>
                <w:kern w:val="0"/>
                <w:sz w:val="18"/>
                <w:szCs w:val="18"/>
                <w:lang w:val="en-US" w:eastAsia="zh-CN" w:bidi="ar-SA"/>
              </w:rPr>
            </w:pPr>
            <w:r>
              <w:rPr>
                <w:rFonts w:hint="eastAsia" w:ascii="宋体" w:hAnsi="宋体" w:cs="宋体"/>
                <w:color w:val="000000"/>
                <w:sz w:val="18"/>
                <w:szCs w:val="18"/>
              </w:rPr>
              <w:t>承担医院</w:t>
            </w:r>
            <w:r>
              <w:rPr>
                <w:rFonts w:hint="eastAsia" w:ascii="宋体" w:hAnsi="宋体" w:eastAsia="宋体"/>
                <w:sz w:val="18"/>
                <w:szCs w:val="18"/>
                <w:lang w:val="en-US" w:eastAsia="zh-CN"/>
              </w:rPr>
              <w:t>耳鼻咽喉科</w:t>
            </w:r>
            <w:r>
              <w:rPr>
                <w:rFonts w:hint="eastAsia" w:ascii="宋体" w:hAnsi="宋体" w:cs="宋体"/>
                <w:color w:val="000000"/>
                <w:sz w:val="18"/>
                <w:szCs w:val="18"/>
              </w:rPr>
              <w:t>门急诊</w:t>
            </w:r>
            <w:r>
              <w:rPr>
                <w:rFonts w:hint="eastAsia" w:ascii="宋体" w:hAnsi="宋体" w:cs="宋体"/>
                <w:color w:val="000000"/>
                <w:sz w:val="18"/>
                <w:szCs w:val="18"/>
                <w:lang w:val="en-US" w:eastAsia="zh-CN"/>
              </w:rPr>
              <w:t>听力</w:t>
            </w:r>
            <w:r>
              <w:rPr>
                <w:rFonts w:hint="eastAsia" w:ascii="宋体" w:hAnsi="宋体" w:cs="宋体"/>
                <w:color w:val="000000"/>
                <w:sz w:val="18"/>
                <w:szCs w:val="18"/>
              </w:rPr>
              <w:t>检查</w:t>
            </w:r>
            <w:r>
              <w:rPr>
                <w:rFonts w:hint="eastAsia" w:ascii="宋体" w:hAnsi="宋体" w:cs="宋体"/>
                <w:color w:val="000000"/>
                <w:sz w:val="18"/>
                <w:szCs w:val="18"/>
                <w:lang w:eastAsia="zh-CN"/>
              </w:rPr>
              <w:t>、</w:t>
            </w:r>
            <w:r>
              <w:rPr>
                <w:rFonts w:hint="eastAsia" w:ascii="宋体" w:hAnsi="宋体" w:cs="宋体"/>
                <w:color w:val="000000"/>
                <w:sz w:val="18"/>
                <w:szCs w:val="18"/>
                <w:lang w:val="en-US" w:eastAsia="zh-CN"/>
              </w:rPr>
              <w:t>内镜</w:t>
            </w:r>
            <w:r>
              <w:rPr>
                <w:rFonts w:hint="eastAsia" w:ascii="宋体" w:hAnsi="宋体" w:cs="宋体"/>
                <w:color w:val="000000"/>
                <w:sz w:val="18"/>
                <w:szCs w:val="18"/>
              </w:rPr>
              <w:t>及</w:t>
            </w:r>
            <w:r>
              <w:rPr>
                <w:rFonts w:hint="eastAsia" w:ascii="宋体" w:hAnsi="宋体" w:cs="宋体"/>
                <w:color w:val="000000"/>
                <w:sz w:val="18"/>
                <w:szCs w:val="18"/>
                <w:lang w:val="en-US" w:eastAsia="zh-CN"/>
              </w:rPr>
              <w:t>治疗室辅助操作</w:t>
            </w:r>
            <w:r>
              <w:rPr>
                <w:rFonts w:hint="eastAsia" w:ascii="宋体" w:hAnsi="宋体" w:cs="宋体"/>
                <w:color w:val="000000"/>
                <w:sz w:val="18"/>
                <w:szCs w:val="18"/>
              </w:rPr>
              <w:t>等工作。</w:t>
            </w:r>
          </w:p>
        </w:tc>
        <w:tc>
          <w:tcPr>
            <w:tcW w:w="2858" w:type="dxa"/>
            <w:vAlign w:val="center"/>
          </w:tcPr>
          <w:p>
            <w:pPr>
              <w:widowControl/>
              <w:spacing w:line="240" w:lineRule="exact"/>
              <w:jc w:val="left"/>
              <w:textAlignment w:val="center"/>
              <w:rPr>
                <w:rFonts w:ascii="宋体" w:hAnsi="宋体" w:cs="宋体"/>
                <w:kern w:val="0"/>
                <w:sz w:val="18"/>
                <w:szCs w:val="18"/>
              </w:rPr>
            </w:pPr>
            <w:r>
              <w:rPr>
                <w:rFonts w:hint="eastAsia" w:ascii="宋体" w:hAnsi="宋体" w:cs="宋体"/>
                <w:color w:val="000000"/>
                <w:sz w:val="18"/>
                <w:szCs w:val="18"/>
                <w:lang w:val="en-US" w:eastAsia="zh-CN"/>
              </w:rPr>
              <w:t>听力学</w:t>
            </w:r>
            <w:r>
              <w:rPr>
                <w:rFonts w:hint="eastAsia" w:ascii="宋体" w:hAnsi="宋体" w:cs="宋体"/>
                <w:color w:val="000000"/>
                <w:sz w:val="18"/>
                <w:szCs w:val="18"/>
              </w:rPr>
              <w:t>专业；</w:t>
            </w:r>
          </w:p>
          <w:p>
            <w:pPr>
              <w:spacing w:line="240" w:lineRule="exact"/>
              <w:rPr>
                <w:rFonts w:hint="default" w:ascii="宋体" w:hAnsi="宋体" w:eastAsia="宋体" w:cs="Times New Roman"/>
                <w:color w:val="000000"/>
                <w:kern w:val="2"/>
                <w:sz w:val="18"/>
                <w:szCs w:val="18"/>
                <w:lang w:val="en-US" w:eastAsia="zh-CN" w:bidi="ar-SA"/>
              </w:rPr>
            </w:pPr>
            <w:r>
              <w:rPr>
                <w:rFonts w:hint="default" w:ascii="Times New Roman" w:hAnsi="Times New Roman" w:cs="Times New Roman"/>
                <w:sz w:val="18"/>
                <w:szCs w:val="18"/>
              </w:rPr>
              <w:t>本科及以上学历</w:t>
            </w:r>
            <w:r>
              <w:rPr>
                <w:rFonts w:hint="eastAsia" w:cs="Times New Roman"/>
                <w:sz w:val="18"/>
                <w:szCs w:val="18"/>
                <w:lang w:eastAsia="zh-CN"/>
              </w:rPr>
              <w:t>且</w:t>
            </w:r>
            <w:r>
              <w:rPr>
                <w:rFonts w:hint="default" w:ascii="Times New Roman" w:hAnsi="Times New Roman" w:cs="Times New Roman"/>
                <w:sz w:val="18"/>
                <w:szCs w:val="18"/>
              </w:rPr>
              <w:t>学士及以上学位</w:t>
            </w:r>
            <w:r>
              <w:rPr>
                <w:rFonts w:hint="default" w:ascii="Times New Roman" w:hAnsi="Times New Roman" w:cs="Times New Roman"/>
                <w:bCs/>
                <w:sz w:val="18"/>
                <w:szCs w:val="18"/>
              </w:rPr>
              <w:t>。</w:t>
            </w:r>
          </w:p>
        </w:tc>
        <w:tc>
          <w:tcPr>
            <w:tcW w:w="851" w:type="dxa"/>
            <w:vMerge w:val="restart"/>
            <w:vAlign w:val="center"/>
          </w:tcPr>
          <w:p>
            <w:pPr>
              <w:spacing w:line="240" w:lineRule="exact"/>
              <w:jc w:val="center"/>
              <w:rPr>
                <w:rFonts w:hint="default" w:ascii="Times New Roman" w:hAnsi="Times New Roman" w:cs="Times New Roman"/>
                <w:bCs/>
                <w:sz w:val="18"/>
                <w:szCs w:val="18"/>
              </w:rPr>
            </w:pPr>
            <w:r>
              <w:rPr>
                <w:rFonts w:hint="eastAsia" w:ascii="宋体" w:hAnsi="宋体" w:cs="宋体"/>
                <w:kern w:val="0"/>
                <w:sz w:val="18"/>
                <w:szCs w:val="18"/>
              </w:rPr>
              <w:t>面向全国</w:t>
            </w:r>
          </w:p>
        </w:tc>
        <w:tc>
          <w:tcPr>
            <w:tcW w:w="2385" w:type="dxa"/>
            <w:vAlign w:val="center"/>
          </w:tcPr>
          <w:p>
            <w:pPr>
              <w:widowControl w:val="0"/>
              <w:numPr>
                <w:ilvl w:val="0"/>
                <w:numId w:val="0"/>
              </w:numPr>
              <w:spacing w:line="240" w:lineRule="exact"/>
              <w:ind w:left="0" w:leftChars="0" w:firstLine="0" w:firstLineChars="0"/>
              <w:jc w:val="both"/>
              <w:rPr>
                <w:rFonts w:hint="default" w:ascii="Times New Roman" w:hAnsi="Times New Roman" w:eastAsia="宋体" w:cs="Times New Roman"/>
                <w:kern w:val="2"/>
                <w:sz w:val="18"/>
                <w:szCs w:val="16"/>
                <w:lang w:val="en-US" w:eastAsia="zh-CN" w:bidi="ar-SA"/>
              </w:rPr>
            </w:pPr>
            <w:r>
              <w:rPr>
                <w:rFonts w:hint="default" w:ascii="Times New Roman" w:hAnsi="Times New Roman" w:cs="Times New Roman"/>
                <w:bCs/>
                <w:sz w:val="18"/>
                <w:szCs w:val="18"/>
              </w:rPr>
              <w:t>1.有三级医院</w:t>
            </w:r>
            <w:r>
              <w:rPr>
                <w:rFonts w:hint="eastAsia" w:ascii="Times New Roman" w:hAnsi="Times New Roman" w:cs="Times New Roman"/>
                <w:bCs/>
                <w:sz w:val="18"/>
                <w:szCs w:val="18"/>
                <w:lang w:val="en-US" w:eastAsia="zh-CN"/>
              </w:rPr>
              <w:t>听力相关</w:t>
            </w:r>
            <w:r>
              <w:rPr>
                <w:rFonts w:hint="default" w:ascii="Times New Roman" w:hAnsi="Times New Roman" w:cs="Times New Roman"/>
                <w:bCs/>
                <w:sz w:val="18"/>
                <w:szCs w:val="18"/>
              </w:rPr>
              <w:t>工作经历；</w:t>
            </w:r>
            <w:r>
              <w:rPr>
                <w:rFonts w:hint="eastAsia" w:ascii="Times New Roman" w:hAnsi="Times New Roman" w:cs="Times New Roman"/>
                <w:bCs/>
                <w:sz w:val="18"/>
                <w:szCs w:val="18"/>
                <w:lang w:val="en-US" w:eastAsia="zh-CN"/>
              </w:rPr>
              <w:t>2</w:t>
            </w:r>
            <w:r>
              <w:rPr>
                <w:rFonts w:hint="default" w:ascii="Times New Roman" w:hAnsi="Times New Roman" w:cs="Times New Roman"/>
                <w:bCs/>
                <w:sz w:val="18"/>
                <w:szCs w:val="18"/>
              </w:rPr>
              <w:t>.历届生，年龄35周岁以下。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vAlign w:val="center"/>
          </w:tcPr>
          <w:p>
            <w:pPr>
              <w:spacing w:line="240" w:lineRule="exact"/>
              <w:jc w:val="center"/>
              <w:rPr>
                <w:rFonts w:hint="default" w:ascii="Times New Roman" w:hAnsi="Times New Roman" w:cs="Times New Roman"/>
                <w:bCs/>
                <w:sz w:val="18"/>
                <w:szCs w:val="18"/>
              </w:rPr>
            </w:pPr>
          </w:p>
        </w:tc>
        <w:tc>
          <w:tcPr>
            <w:tcW w:w="1026" w:type="dxa"/>
            <w:vAlign w:val="center"/>
          </w:tcPr>
          <w:p>
            <w:pPr>
              <w:spacing w:line="240" w:lineRule="exact"/>
              <w:jc w:val="center"/>
              <w:rPr>
                <w:rFonts w:hint="default" w:ascii="宋体" w:hAnsi="宋体" w:eastAsia="宋体" w:cs="Times New Roman"/>
                <w:kern w:val="2"/>
                <w:sz w:val="18"/>
                <w:szCs w:val="18"/>
                <w:lang w:val="en-US" w:eastAsia="zh-CN" w:bidi="ar-SA"/>
              </w:rPr>
            </w:pPr>
            <w:r>
              <w:rPr>
                <w:rFonts w:hint="eastAsia" w:ascii="宋体" w:hAnsi="宋体"/>
                <w:kern w:val="2"/>
                <w:sz w:val="18"/>
                <w:szCs w:val="18"/>
                <w:lang w:val="en-US" w:eastAsia="zh-CN" w:bidi="ar-SA"/>
              </w:rPr>
              <w:t>质量管理科</w:t>
            </w:r>
          </w:p>
        </w:tc>
        <w:tc>
          <w:tcPr>
            <w:tcW w:w="392" w:type="dxa"/>
            <w:vAlign w:val="center"/>
          </w:tcPr>
          <w:p>
            <w:pPr>
              <w:spacing w:line="240" w:lineRule="exact"/>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w:t>
            </w:r>
          </w:p>
        </w:tc>
        <w:tc>
          <w:tcPr>
            <w:tcW w:w="2245" w:type="dxa"/>
            <w:vAlign w:val="center"/>
          </w:tcPr>
          <w:p>
            <w:pPr>
              <w:spacing w:line="240" w:lineRule="exact"/>
              <w:jc w:val="left"/>
              <w:rPr>
                <w:rFonts w:hint="default" w:ascii="宋体" w:hAnsi="宋体" w:eastAsia="宋体" w:cs="Times New Roman"/>
                <w:kern w:val="2"/>
                <w:sz w:val="18"/>
                <w:szCs w:val="18"/>
                <w:lang w:val="en-US" w:eastAsia="zh-CN" w:bidi="ar-SA"/>
              </w:rPr>
            </w:pPr>
            <w:r>
              <w:rPr>
                <w:rFonts w:hint="eastAsia" w:ascii="宋体" w:hAnsi="宋体"/>
                <w:kern w:val="2"/>
                <w:sz w:val="18"/>
                <w:szCs w:val="18"/>
                <w:lang w:val="en-US" w:eastAsia="zh-CN" w:bidi="ar-SA"/>
              </w:rPr>
              <w:t>负责全院医疗各环节质量总体监控，研究提升医疗效率、质量安全，定期医疗质量检查和评价。</w:t>
            </w:r>
          </w:p>
        </w:tc>
        <w:tc>
          <w:tcPr>
            <w:tcW w:w="2858" w:type="dxa"/>
            <w:vAlign w:val="center"/>
          </w:tcPr>
          <w:p>
            <w:pPr>
              <w:spacing w:line="240" w:lineRule="exact"/>
              <w:rPr>
                <w:rFonts w:hint="eastAsia" w:ascii="宋体" w:hAnsi="宋体"/>
                <w:kern w:val="2"/>
                <w:sz w:val="18"/>
                <w:szCs w:val="18"/>
                <w:lang w:val="en-US" w:eastAsia="zh-CN" w:bidi="ar-SA"/>
              </w:rPr>
            </w:pPr>
            <w:r>
              <w:rPr>
                <w:rFonts w:hint="eastAsia" w:ascii="宋体" w:hAnsi="宋体"/>
                <w:kern w:val="2"/>
                <w:sz w:val="18"/>
                <w:szCs w:val="18"/>
                <w:lang w:val="en-US" w:eastAsia="zh-CN" w:bidi="ar-SA"/>
              </w:rPr>
              <w:t>流行病与卫生统计学专业；</w:t>
            </w:r>
          </w:p>
          <w:p>
            <w:pPr>
              <w:spacing w:line="240" w:lineRule="exact"/>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SA"/>
              </w:rPr>
              <w:t>研究生</w:t>
            </w:r>
            <w:r>
              <w:rPr>
                <w:rFonts w:hint="eastAsia" w:ascii="宋体" w:hAnsi="宋体" w:cs="宋体"/>
                <w:color w:val="000000"/>
                <w:kern w:val="0"/>
                <w:sz w:val="18"/>
                <w:szCs w:val="18"/>
                <w:lang w:val="en-US" w:eastAsia="zh-CN" w:bidi="ar-SA"/>
              </w:rPr>
              <w:t>学历且</w:t>
            </w:r>
            <w:r>
              <w:rPr>
                <w:rFonts w:hint="eastAsia" w:ascii="宋体" w:hAnsi="宋体" w:eastAsia="宋体" w:cs="宋体"/>
                <w:color w:val="000000"/>
                <w:kern w:val="0"/>
                <w:sz w:val="18"/>
                <w:szCs w:val="18"/>
                <w:lang w:val="en-US" w:eastAsia="zh-CN" w:bidi="ar-SA"/>
              </w:rPr>
              <w:t>硕士及以上学</w:t>
            </w:r>
            <w:r>
              <w:rPr>
                <w:rFonts w:hint="eastAsia" w:ascii="宋体" w:hAnsi="宋体" w:cs="宋体"/>
                <w:color w:val="000000"/>
                <w:kern w:val="0"/>
                <w:sz w:val="18"/>
                <w:szCs w:val="18"/>
                <w:lang w:val="en-US" w:eastAsia="zh-CN" w:bidi="ar-SA"/>
              </w:rPr>
              <w:t>位</w:t>
            </w:r>
            <w:r>
              <w:rPr>
                <w:rFonts w:hint="eastAsia" w:ascii="宋体" w:hAnsi="宋体" w:eastAsia="宋体" w:cs="宋体"/>
                <w:color w:val="000000"/>
                <w:kern w:val="0"/>
                <w:sz w:val="18"/>
                <w:szCs w:val="18"/>
                <w:lang w:val="en-US" w:eastAsia="zh-CN" w:bidi="ar-SA"/>
              </w:rPr>
              <w:t>。</w:t>
            </w:r>
          </w:p>
        </w:tc>
        <w:tc>
          <w:tcPr>
            <w:tcW w:w="851" w:type="dxa"/>
            <w:vMerge w:val="continue"/>
            <w:vAlign w:val="center"/>
          </w:tcPr>
          <w:p>
            <w:pPr>
              <w:spacing w:line="240" w:lineRule="exact"/>
              <w:jc w:val="center"/>
              <w:rPr>
                <w:rFonts w:hint="default" w:ascii="Times New Roman" w:hAnsi="Times New Roman" w:cs="Times New Roman"/>
                <w:bCs/>
                <w:sz w:val="18"/>
                <w:szCs w:val="18"/>
              </w:rPr>
            </w:pPr>
          </w:p>
        </w:tc>
        <w:tc>
          <w:tcPr>
            <w:tcW w:w="2385" w:type="dxa"/>
            <w:vMerge w:val="restart"/>
            <w:vAlign w:val="center"/>
          </w:tcPr>
          <w:p>
            <w:pPr>
              <w:spacing w:line="240" w:lineRule="exact"/>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cs="Times New Roman"/>
                <w:sz w:val="18"/>
                <w:szCs w:val="18"/>
                <w:lang w:val="en-US" w:eastAsia="zh-CN"/>
              </w:rPr>
              <w:t>2024年普通</w:t>
            </w:r>
            <w:r>
              <w:rPr>
                <w:rFonts w:hint="eastAsia"/>
                <w:bCs/>
                <w:sz w:val="18"/>
                <w:szCs w:val="18"/>
                <w:lang w:eastAsia="zh-CN"/>
              </w:rPr>
              <w:t>高等院校</w:t>
            </w:r>
            <w:r>
              <w:rPr>
                <w:rFonts w:hint="default" w:ascii="Times New Roman" w:hAnsi="Times New Roman" w:cs="Times New Roman"/>
                <w:sz w:val="18"/>
                <w:szCs w:val="18"/>
                <w:lang w:val="en-US" w:eastAsia="zh-CN"/>
              </w:rPr>
              <w:t>应届毕业生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vAlign w:val="center"/>
          </w:tcPr>
          <w:p>
            <w:pPr>
              <w:spacing w:line="240" w:lineRule="exact"/>
              <w:jc w:val="center"/>
              <w:rPr>
                <w:rFonts w:hint="default" w:ascii="Times New Roman" w:hAnsi="Times New Roman" w:cs="Times New Roman"/>
                <w:bCs/>
                <w:sz w:val="18"/>
                <w:szCs w:val="18"/>
              </w:rPr>
            </w:pPr>
          </w:p>
        </w:tc>
        <w:tc>
          <w:tcPr>
            <w:tcW w:w="1026" w:type="dxa"/>
            <w:vAlign w:val="center"/>
          </w:tcPr>
          <w:p>
            <w:pPr>
              <w:spacing w:line="240" w:lineRule="exact"/>
              <w:jc w:val="center"/>
              <w:rPr>
                <w:rFonts w:hint="default" w:ascii="宋体" w:hAnsi="宋体" w:eastAsia="宋体" w:cs="Times New Roman"/>
                <w:kern w:val="2"/>
                <w:sz w:val="18"/>
                <w:szCs w:val="18"/>
                <w:lang w:val="en-US" w:eastAsia="zh-CN" w:bidi="ar-SA"/>
              </w:rPr>
            </w:pPr>
            <w:r>
              <w:rPr>
                <w:rFonts w:hint="eastAsia" w:ascii="宋体" w:hAnsi="宋体" w:cs="宋体"/>
                <w:sz w:val="18"/>
                <w:szCs w:val="18"/>
                <w:lang w:val="en-US" w:eastAsia="zh-CN"/>
              </w:rPr>
              <w:t>中药房</w:t>
            </w:r>
          </w:p>
        </w:tc>
        <w:tc>
          <w:tcPr>
            <w:tcW w:w="392" w:type="dxa"/>
            <w:vAlign w:val="center"/>
          </w:tcPr>
          <w:p>
            <w:pPr>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rPr>
              <w:t>1</w:t>
            </w:r>
          </w:p>
        </w:tc>
        <w:tc>
          <w:tcPr>
            <w:tcW w:w="2245" w:type="dxa"/>
            <w:vAlign w:val="center"/>
          </w:tcPr>
          <w:p>
            <w:pPr>
              <w:spacing w:line="240" w:lineRule="exact"/>
              <w:jc w:val="left"/>
              <w:rPr>
                <w:rFonts w:hint="default" w:ascii="宋体" w:hAnsi="宋体" w:eastAsia="宋体" w:cs="Times New Roman"/>
                <w:kern w:val="2"/>
                <w:sz w:val="18"/>
                <w:szCs w:val="18"/>
                <w:lang w:val="en-US" w:eastAsia="zh-CN" w:bidi="ar-SA"/>
              </w:rPr>
            </w:pPr>
            <w:r>
              <w:rPr>
                <w:rFonts w:hint="eastAsia" w:ascii="宋体" w:hAnsi="宋体"/>
                <w:kern w:val="2"/>
                <w:sz w:val="18"/>
                <w:szCs w:val="18"/>
                <w:lang w:val="en-US" w:eastAsia="zh-CN" w:bidi="ar-SA"/>
              </w:rPr>
              <w:t>承担医院中药房日常业务工作</w:t>
            </w:r>
          </w:p>
        </w:tc>
        <w:tc>
          <w:tcPr>
            <w:tcW w:w="2858" w:type="dxa"/>
            <w:tcBorders>
              <w:bottom w:val="single" w:color="auto" w:sz="4" w:space="0"/>
            </w:tcBorders>
            <w:vAlign w:val="center"/>
          </w:tcPr>
          <w:p>
            <w:pPr>
              <w:spacing w:line="240" w:lineRule="exact"/>
              <w:jc w:val="left"/>
              <w:rPr>
                <w:rFonts w:ascii="宋体" w:hAnsi="宋体" w:cs="宋体"/>
                <w:sz w:val="18"/>
                <w:szCs w:val="18"/>
              </w:rPr>
            </w:pPr>
            <w:r>
              <w:rPr>
                <w:rFonts w:hint="eastAsia" w:ascii="宋体" w:hAnsi="宋体" w:cs="宋体"/>
                <w:sz w:val="18"/>
                <w:szCs w:val="18"/>
                <w:lang w:val="en-US" w:eastAsia="zh-CN"/>
              </w:rPr>
              <w:t>中药学</w:t>
            </w:r>
            <w:r>
              <w:rPr>
                <w:rFonts w:hint="eastAsia" w:ascii="宋体" w:hAnsi="宋体" w:cs="宋体"/>
                <w:sz w:val="18"/>
                <w:szCs w:val="18"/>
              </w:rPr>
              <w:t>专业；</w:t>
            </w:r>
          </w:p>
          <w:p>
            <w:pPr>
              <w:spacing w:line="240" w:lineRule="exact"/>
              <w:rPr>
                <w:rFonts w:hint="default" w:ascii="宋体" w:hAnsi="宋体" w:eastAsia="宋体" w:cs="Times New Roman"/>
                <w:kern w:val="2"/>
                <w:sz w:val="18"/>
                <w:szCs w:val="18"/>
                <w:lang w:val="en-US" w:eastAsia="zh-CN" w:bidi="ar-SA"/>
              </w:rPr>
            </w:pPr>
            <w:r>
              <w:rPr>
                <w:rFonts w:hint="default" w:ascii="Times New Roman" w:hAnsi="Times New Roman" w:cs="Times New Roman"/>
                <w:sz w:val="18"/>
                <w:szCs w:val="18"/>
              </w:rPr>
              <w:t>本科及以上学历</w:t>
            </w:r>
            <w:r>
              <w:rPr>
                <w:rFonts w:hint="eastAsia" w:cs="Times New Roman"/>
                <w:sz w:val="18"/>
                <w:szCs w:val="18"/>
                <w:lang w:eastAsia="zh-CN"/>
              </w:rPr>
              <w:t>且</w:t>
            </w:r>
            <w:r>
              <w:rPr>
                <w:rFonts w:hint="default" w:ascii="Times New Roman" w:hAnsi="Times New Roman" w:cs="Times New Roman"/>
                <w:sz w:val="18"/>
                <w:szCs w:val="18"/>
              </w:rPr>
              <w:t>学士及以上学位</w:t>
            </w:r>
            <w:r>
              <w:rPr>
                <w:rFonts w:hint="default" w:ascii="Times New Roman" w:hAnsi="Times New Roman" w:cs="Times New Roman"/>
                <w:bCs/>
                <w:sz w:val="18"/>
                <w:szCs w:val="18"/>
              </w:rPr>
              <w:t>。</w:t>
            </w:r>
          </w:p>
        </w:tc>
        <w:tc>
          <w:tcPr>
            <w:tcW w:w="851" w:type="dxa"/>
            <w:vMerge w:val="continue"/>
            <w:vAlign w:val="center"/>
          </w:tcPr>
          <w:p>
            <w:pPr>
              <w:spacing w:line="240" w:lineRule="exact"/>
              <w:jc w:val="center"/>
              <w:rPr>
                <w:rFonts w:hint="default" w:ascii="Times New Roman" w:hAnsi="Times New Roman" w:cs="Times New Roman"/>
                <w:bCs/>
                <w:sz w:val="18"/>
                <w:szCs w:val="18"/>
              </w:rPr>
            </w:pPr>
          </w:p>
        </w:tc>
        <w:tc>
          <w:tcPr>
            <w:tcW w:w="2385" w:type="dxa"/>
            <w:vMerge w:val="continue"/>
            <w:vAlign w:val="center"/>
          </w:tcPr>
          <w:p>
            <w:pPr>
              <w:spacing w:line="240" w:lineRule="exact"/>
              <w:rPr>
                <w:rFonts w:hint="default" w:ascii="宋体" w:hAnsi="宋体" w:eastAsia="宋体" w:cs="宋体"/>
                <w:color w:val="000000"/>
                <w:kern w:val="2"/>
                <w:sz w:val="18"/>
                <w:szCs w:val="18"/>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Align w:val="center"/>
          </w:tcPr>
          <w:p>
            <w:pPr>
              <w:spacing w:line="240" w:lineRule="exact"/>
              <w:jc w:val="center"/>
              <w:rPr>
                <w:rFonts w:hint="eastAsia" w:cs="Times New Roman"/>
                <w:bCs/>
                <w:sz w:val="18"/>
                <w:szCs w:val="18"/>
                <w:lang w:eastAsia="zh-CN"/>
              </w:rPr>
            </w:pPr>
            <w:r>
              <w:rPr>
                <w:rFonts w:hint="eastAsia" w:cs="Times New Roman"/>
                <w:bCs/>
                <w:sz w:val="18"/>
                <w:szCs w:val="18"/>
                <w:lang w:eastAsia="zh-CN"/>
              </w:rPr>
              <w:t>宁波市</w:t>
            </w:r>
          </w:p>
          <w:p>
            <w:pPr>
              <w:spacing w:line="240" w:lineRule="exact"/>
              <w:jc w:val="center"/>
              <w:rPr>
                <w:rFonts w:hint="eastAsia" w:cs="Times New Roman"/>
                <w:bCs/>
                <w:sz w:val="18"/>
                <w:szCs w:val="18"/>
                <w:lang w:eastAsia="zh-CN"/>
              </w:rPr>
            </w:pPr>
            <w:r>
              <w:rPr>
                <w:rFonts w:hint="eastAsia" w:cs="Times New Roman"/>
                <w:bCs/>
                <w:sz w:val="18"/>
                <w:szCs w:val="18"/>
                <w:lang w:eastAsia="zh-CN"/>
              </w:rPr>
              <w:t>急救中心</w:t>
            </w:r>
          </w:p>
          <w:p>
            <w:pPr>
              <w:spacing w:line="240" w:lineRule="exact"/>
              <w:jc w:val="center"/>
              <w:rPr>
                <w:rFonts w:hint="eastAsia" w:cs="Times New Roman"/>
                <w:bCs/>
                <w:sz w:val="18"/>
                <w:szCs w:val="18"/>
                <w:lang w:eastAsia="zh-CN"/>
              </w:rPr>
            </w:pPr>
            <w:r>
              <w:rPr>
                <w:rFonts w:hint="eastAsia" w:cs="Times New Roman"/>
                <w:bCs/>
                <w:sz w:val="18"/>
                <w:szCs w:val="18"/>
                <w:lang w:eastAsia="zh-CN"/>
              </w:rPr>
              <w:t>（</w:t>
            </w:r>
            <w:r>
              <w:rPr>
                <w:rFonts w:hint="eastAsia" w:cs="Times New Roman"/>
                <w:bCs/>
                <w:sz w:val="18"/>
                <w:szCs w:val="18"/>
                <w:lang w:val="en-US" w:eastAsia="zh-CN"/>
              </w:rPr>
              <w:t>1名</w:t>
            </w:r>
            <w:r>
              <w:rPr>
                <w:rFonts w:hint="eastAsia" w:cs="Times New Roman"/>
                <w:bCs/>
                <w:sz w:val="18"/>
                <w:szCs w:val="18"/>
                <w:lang w:eastAsia="zh-CN"/>
              </w:rPr>
              <w:t>）</w:t>
            </w:r>
          </w:p>
        </w:tc>
        <w:tc>
          <w:tcPr>
            <w:tcW w:w="1026" w:type="dxa"/>
            <w:vAlign w:val="center"/>
          </w:tcPr>
          <w:p>
            <w:pPr>
              <w:spacing w:line="24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急救医生</w:t>
            </w:r>
          </w:p>
        </w:tc>
        <w:tc>
          <w:tcPr>
            <w:tcW w:w="3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2245" w:type="dxa"/>
            <w:vAlign w:val="center"/>
          </w:tcPr>
          <w:p>
            <w:pPr>
              <w:spacing w:line="240" w:lineRule="exact"/>
              <w:jc w:val="left"/>
              <w:rPr>
                <w:rFonts w:hint="eastAsia" w:ascii="宋体" w:hAnsi="宋体"/>
                <w:kern w:val="2"/>
                <w:sz w:val="18"/>
                <w:szCs w:val="18"/>
                <w:lang w:val="en-US" w:eastAsia="zh-CN" w:bidi="ar-SA"/>
              </w:rPr>
            </w:pPr>
            <w:r>
              <w:rPr>
                <w:rFonts w:hint="eastAsia" w:ascii="宋体" w:hAnsi="宋体"/>
                <w:kern w:val="2"/>
                <w:sz w:val="18"/>
                <w:szCs w:val="18"/>
                <w:lang w:val="en-US" w:eastAsia="zh-CN" w:bidi="ar-SA"/>
              </w:rPr>
              <w:t>执行院前急救规章制度，完成各项医疗急救工作和任务；参与重大突发公共事件的紧急</w:t>
            </w:r>
            <w:bookmarkStart w:id="0" w:name="_GoBack"/>
            <w:bookmarkEnd w:id="0"/>
            <w:r>
              <w:rPr>
                <w:rFonts w:hint="eastAsia" w:ascii="宋体" w:hAnsi="宋体"/>
                <w:kern w:val="2"/>
                <w:sz w:val="18"/>
                <w:szCs w:val="18"/>
                <w:lang w:val="en-US" w:eastAsia="zh-CN" w:bidi="ar-SA"/>
              </w:rPr>
              <w:t>联合救援等。适宜男性。</w:t>
            </w:r>
          </w:p>
        </w:tc>
        <w:tc>
          <w:tcPr>
            <w:tcW w:w="2858" w:type="dxa"/>
            <w:tcBorders>
              <w:bottom w:val="single" w:color="auto" w:sz="4" w:space="0"/>
            </w:tcBorders>
            <w:vAlign w:val="center"/>
          </w:tcPr>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临床医学</w:t>
            </w:r>
            <w:r>
              <w:rPr>
                <w:rFonts w:hint="eastAsia" w:cs="Times New Roman"/>
                <w:sz w:val="18"/>
                <w:szCs w:val="18"/>
                <w:lang w:eastAsia="zh-CN"/>
              </w:rPr>
              <w:t>、</w:t>
            </w:r>
            <w:r>
              <w:rPr>
                <w:rFonts w:hint="default" w:ascii="Times New Roman" w:hAnsi="Times New Roman" w:cs="Times New Roman"/>
                <w:sz w:val="18"/>
                <w:szCs w:val="18"/>
              </w:rPr>
              <w:t>急诊医学专业；</w:t>
            </w:r>
          </w:p>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本科及以上学历</w:t>
            </w:r>
            <w:r>
              <w:rPr>
                <w:rFonts w:hint="eastAsia" w:cs="Times New Roman"/>
                <w:sz w:val="18"/>
                <w:szCs w:val="18"/>
                <w:lang w:eastAsia="zh-CN"/>
              </w:rPr>
              <w:t>且</w:t>
            </w:r>
            <w:r>
              <w:rPr>
                <w:rFonts w:hint="default" w:ascii="Times New Roman" w:hAnsi="Times New Roman" w:cs="Times New Roman"/>
                <w:sz w:val="18"/>
                <w:szCs w:val="18"/>
              </w:rPr>
              <w:t>学士及以上学位</w:t>
            </w:r>
            <w:r>
              <w:rPr>
                <w:rFonts w:hint="default" w:ascii="Times New Roman" w:hAnsi="Times New Roman" w:cs="Times New Roman"/>
                <w:bCs/>
                <w:sz w:val="18"/>
                <w:szCs w:val="18"/>
              </w:rPr>
              <w:t>。</w:t>
            </w:r>
          </w:p>
        </w:tc>
        <w:tc>
          <w:tcPr>
            <w:tcW w:w="851" w:type="dxa"/>
            <w:vAlign w:val="center"/>
          </w:tcPr>
          <w:p>
            <w:pPr>
              <w:spacing w:line="240" w:lineRule="exact"/>
              <w:jc w:val="center"/>
              <w:rPr>
                <w:rFonts w:hint="default" w:ascii="Times New Roman" w:hAnsi="Times New Roman" w:cs="Times New Roman"/>
                <w:bCs/>
                <w:sz w:val="18"/>
                <w:szCs w:val="18"/>
              </w:rPr>
            </w:pPr>
            <w:r>
              <w:rPr>
                <w:rFonts w:hint="eastAsia" w:ascii="宋体" w:hAnsi="宋体" w:cs="宋体"/>
                <w:kern w:val="0"/>
                <w:sz w:val="18"/>
                <w:szCs w:val="18"/>
              </w:rPr>
              <w:t>面向全国</w:t>
            </w:r>
          </w:p>
        </w:tc>
        <w:tc>
          <w:tcPr>
            <w:tcW w:w="2385" w:type="dxa"/>
            <w:vAlign w:val="center"/>
          </w:tcPr>
          <w:p>
            <w:pPr>
              <w:spacing w:line="240" w:lineRule="exact"/>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符合下列条件之一：</w:t>
            </w:r>
          </w:p>
          <w:p>
            <w:pPr>
              <w:spacing w:line="240" w:lineRule="exact"/>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1.2024年普通高等院校应届毕业生；</w:t>
            </w:r>
          </w:p>
          <w:p>
            <w:pPr>
              <w:spacing w:line="240" w:lineRule="exact"/>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2.</w:t>
            </w:r>
            <w:r>
              <w:rPr>
                <w:rFonts w:hint="default" w:ascii="Times New Roman" w:hAnsi="Times New Roman" w:eastAsia="宋体" w:cs="Times New Roman"/>
                <w:color w:val="000000"/>
                <w:kern w:val="2"/>
                <w:sz w:val="18"/>
                <w:szCs w:val="18"/>
                <w:lang w:val="en-US" w:eastAsia="zh-CN" w:bidi="ar-SA"/>
              </w:rPr>
              <w:t>具有执业医师资格</w:t>
            </w:r>
            <w:r>
              <w:rPr>
                <w:rFonts w:hint="default" w:ascii="Times New Roman" w:hAnsi="Times New Roman" w:cs="Times New Roman"/>
                <w:color w:val="000000"/>
                <w:kern w:val="2"/>
                <w:sz w:val="18"/>
                <w:szCs w:val="18"/>
                <w:lang w:val="en-US" w:eastAsia="zh-CN" w:bidi="ar-SA"/>
              </w:rPr>
              <w:t>和住院医师规范化培训合格证</w:t>
            </w:r>
            <w:r>
              <w:rPr>
                <w:rFonts w:hint="default" w:ascii="Times New Roman" w:hAnsi="Times New Roman" w:eastAsia="宋体" w:cs="Times New Roman"/>
                <w:color w:val="000000"/>
                <w:kern w:val="2"/>
                <w:sz w:val="18"/>
                <w:szCs w:val="18"/>
                <w:lang w:val="en-US" w:eastAsia="zh-CN" w:bidi="ar-SA"/>
              </w:rPr>
              <w:t>，执业范围为内科、外科、全科医学、急救医学；历届生</w:t>
            </w:r>
            <w:r>
              <w:rPr>
                <w:rFonts w:hint="default" w:ascii="Times New Roman" w:hAnsi="Times New Roman" w:cs="Times New Roman"/>
                <w:color w:val="000000"/>
                <w:kern w:val="2"/>
                <w:sz w:val="18"/>
                <w:szCs w:val="18"/>
                <w:lang w:val="en-US" w:eastAsia="zh-CN" w:bidi="ar-SA"/>
              </w:rPr>
              <w:t>，</w:t>
            </w:r>
            <w:r>
              <w:rPr>
                <w:rFonts w:hint="default" w:ascii="Times New Roman" w:hAnsi="Times New Roman" w:eastAsia="宋体" w:cs="Times New Roman"/>
                <w:color w:val="000000"/>
                <w:kern w:val="2"/>
                <w:sz w:val="18"/>
                <w:szCs w:val="18"/>
                <w:lang w:val="en-US" w:eastAsia="zh-CN" w:bidi="ar-SA"/>
              </w:rPr>
              <w:t>年龄35周岁以下。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宁波市临床病理诊断中心</w:t>
            </w:r>
          </w:p>
          <w:p>
            <w:pPr>
              <w:spacing w:line="24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1</w:t>
            </w:r>
            <w:r>
              <w:rPr>
                <w:rFonts w:hint="default" w:ascii="Times New Roman" w:hAnsi="Times New Roman" w:cs="Times New Roman"/>
                <w:sz w:val="18"/>
                <w:szCs w:val="18"/>
              </w:rPr>
              <w:t>名）</w:t>
            </w:r>
          </w:p>
        </w:tc>
        <w:tc>
          <w:tcPr>
            <w:tcW w:w="1026" w:type="dxa"/>
            <w:vAlign w:val="center"/>
          </w:tcPr>
          <w:p>
            <w:pPr>
              <w:widowControl/>
              <w:spacing w:line="240" w:lineRule="exact"/>
              <w:jc w:val="center"/>
              <w:rPr>
                <w:rFonts w:hint="default" w:ascii="Times New Roman" w:hAnsi="Times New Roman" w:eastAsia="宋体" w:cs="Times New Roman"/>
                <w:bCs/>
                <w:kern w:val="0"/>
                <w:sz w:val="18"/>
                <w:szCs w:val="18"/>
                <w:lang w:val="en-US" w:eastAsia="zh-CN" w:bidi="ar-SA"/>
              </w:rPr>
            </w:pPr>
            <w:r>
              <w:rPr>
                <w:rFonts w:hint="default" w:ascii="Times New Roman" w:hAnsi="Times New Roman" w:cs="Times New Roman"/>
                <w:bCs/>
                <w:kern w:val="0"/>
                <w:sz w:val="18"/>
                <w:szCs w:val="18"/>
                <w:lang w:eastAsia="zh-CN"/>
              </w:rPr>
              <w:t>设备管理</w:t>
            </w:r>
          </w:p>
        </w:tc>
        <w:tc>
          <w:tcPr>
            <w:tcW w:w="392" w:type="dxa"/>
            <w:vAlign w:val="center"/>
          </w:tcPr>
          <w:p>
            <w:pPr>
              <w:widowControl/>
              <w:spacing w:line="240" w:lineRule="exact"/>
              <w:jc w:val="center"/>
              <w:rPr>
                <w:rFonts w:hint="default" w:ascii="Times New Roman" w:hAnsi="Times New Roman" w:eastAsia="宋体" w:cs="Times New Roman"/>
                <w:bCs/>
                <w:kern w:val="0"/>
                <w:sz w:val="18"/>
                <w:szCs w:val="18"/>
                <w:lang w:val="en-US" w:eastAsia="zh-CN" w:bidi="ar-SA"/>
              </w:rPr>
            </w:pPr>
            <w:r>
              <w:rPr>
                <w:rFonts w:hint="default" w:ascii="Times New Roman" w:hAnsi="Times New Roman" w:cs="Times New Roman"/>
                <w:bCs/>
                <w:kern w:val="0"/>
                <w:sz w:val="18"/>
                <w:szCs w:val="18"/>
                <w:lang w:val="en-US" w:eastAsia="zh-CN"/>
              </w:rPr>
              <w:t>1</w:t>
            </w:r>
          </w:p>
        </w:tc>
        <w:tc>
          <w:tcPr>
            <w:tcW w:w="2245" w:type="dxa"/>
            <w:vAlign w:val="center"/>
          </w:tcPr>
          <w:p>
            <w:pPr>
              <w:widowControl/>
              <w:spacing w:line="240" w:lineRule="exact"/>
              <w:rPr>
                <w:rFonts w:hint="default" w:ascii="Times New Roman" w:hAnsi="Times New Roman" w:eastAsia="宋体" w:cs="Times New Roman"/>
                <w:bCs/>
                <w:kern w:val="0"/>
                <w:sz w:val="18"/>
                <w:szCs w:val="18"/>
                <w:lang w:val="en-US" w:eastAsia="zh-CN" w:bidi="ar-SA"/>
              </w:rPr>
            </w:pPr>
            <w:r>
              <w:rPr>
                <w:rFonts w:hint="default" w:ascii="Times New Roman" w:hAnsi="Times New Roman" w:cs="Times New Roman"/>
                <w:bCs/>
                <w:kern w:val="0"/>
                <w:sz w:val="18"/>
                <w:szCs w:val="18"/>
                <w:lang w:eastAsia="zh-CN"/>
              </w:rPr>
              <w:t>承担</w:t>
            </w:r>
            <w:r>
              <w:rPr>
                <w:rFonts w:hint="default" w:ascii="Times New Roman" w:hAnsi="Times New Roman" w:cs="Times New Roman"/>
                <w:bCs/>
                <w:kern w:val="0"/>
                <w:sz w:val="18"/>
                <w:szCs w:val="18"/>
              </w:rPr>
              <w:t>医学设备管理</w:t>
            </w:r>
            <w:r>
              <w:rPr>
                <w:rFonts w:hint="default" w:ascii="Times New Roman" w:hAnsi="Times New Roman" w:cs="Times New Roman"/>
                <w:bCs/>
                <w:kern w:val="0"/>
                <w:sz w:val="18"/>
                <w:szCs w:val="18"/>
                <w:lang w:eastAsia="zh-CN"/>
              </w:rPr>
              <w:t>相关</w:t>
            </w:r>
            <w:r>
              <w:rPr>
                <w:rFonts w:hint="default" w:ascii="Times New Roman" w:hAnsi="Times New Roman" w:cs="Times New Roman"/>
                <w:bCs/>
                <w:kern w:val="0"/>
                <w:sz w:val="18"/>
                <w:szCs w:val="18"/>
              </w:rPr>
              <w:t>工作</w:t>
            </w:r>
            <w:r>
              <w:rPr>
                <w:rFonts w:hint="default" w:ascii="Times New Roman" w:hAnsi="Times New Roman" w:cs="Times New Roman"/>
                <w:bCs/>
                <w:kern w:val="0"/>
                <w:sz w:val="18"/>
                <w:szCs w:val="18"/>
                <w:lang w:eastAsia="zh-CN"/>
              </w:rPr>
              <w:t>。</w:t>
            </w:r>
          </w:p>
        </w:tc>
        <w:tc>
          <w:tcPr>
            <w:tcW w:w="2858" w:type="dxa"/>
            <w:vAlign w:val="center"/>
          </w:tcPr>
          <w:p>
            <w:pPr>
              <w:widowControl/>
              <w:spacing w:line="240" w:lineRule="exact"/>
              <w:rPr>
                <w:rFonts w:hint="default" w:ascii="Times New Roman" w:hAnsi="Times New Roman" w:eastAsia="宋体" w:cs="Times New Roman"/>
                <w:bCs/>
                <w:kern w:val="0"/>
                <w:sz w:val="18"/>
                <w:szCs w:val="18"/>
                <w:lang w:eastAsia="zh-CN"/>
              </w:rPr>
            </w:pPr>
            <w:r>
              <w:rPr>
                <w:rFonts w:hint="default" w:ascii="Times New Roman" w:hAnsi="Times New Roman" w:eastAsia="宋体" w:cs="Times New Roman"/>
                <w:bCs/>
                <w:kern w:val="0"/>
                <w:sz w:val="18"/>
                <w:szCs w:val="18"/>
                <w:lang w:eastAsia="zh-CN"/>
              </w:rPr>
              <w:t>生物医学工程专业；</w:t>
            </w:r>
          </w:p>
          <w:p>
            <w:pPr>
              <w:widowControl/>
              <w:spacing w:line="240" w:lineRule="exact"/>
              <w:rPr>
                <w:rFonts w:hint="default" w:ascii="Times New Roman" w:hAnsi="Times New Roman" w:eastAsia="宋体" w:cs="Times New Roman"/>
                <w:bCs/>
                <w:kern w:val="0"/>
                <w:sz w:val="18"/>
                <w:szCs w:val="18"/>
                <w:lang w:val="en-US" w:eastAsia="zh-CN" w:bidi="ar-SA"/>
              </w:rPr>
            </w:pPr>
            <w:r>
              <w:rPr>
                <w:rFonts w:hint="default" w:ascii="Times New Roman" w:hAnsi="Times New Roman" w:cs="Times New Roman"/>
                <w:sz w:val="18"/>
                <w:szCs w:val="18"/>
              </w:rPr>
              <w:t>本科及以上学</w:t>
            </w:r>
            <w:r>
              <w:rPr>
                <w:rFonts w:hint="default" w:ascii="Times New Roman" w:hAnsi="Times New Roman" w:cs="Times New Roman"/>
                <w:sz w:val="18"/>
                <w:szCs w:val="18"/>
                <w:lang w:eastAsia="zh-CN"/>
              </w:rPr>
              <w:t>历且</w:t>
            </w:r>
            <w:r>
              <w:rPr>
                <w:rFonts w:hint="default" w:ascii="Times New Roman" w:hAnsi="Times New Roman" w:cs="Times New Roman"/>
                <w:sz w:val="18"/>
                <w:szCs w:val="18"/>
              </w:rPr>
              <w:t>学士及以上学位</w:t>
            </w:r>
            <w:r>
              <w:rPr>
                <w:rFonts w:hint="default" w:ascii="Times New Roman" w:hAnsi="Times New Roman" w:cs="Times New Roman"/>
                <w:kern w:val="0"/>
                <w:sz w:val="18"/>
                <w:szCs w:val="18"/>
                <w:lang w:eastAsia="zh-CN"/>
              </w:rPr>
              <w:t>。</w:t>
            </w:r>
          </w:p>
        </w:tc>
        <w:tc>
          <w:tcPr>
            <w:tcW w:w="851" w:type="dxa"/>
            <w:vAlign w:val="center"/>
          </w:tcPr>
          <w:p>
            <w:pPr>
              <w:spacing w:line="24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color w:val="000000"/>
                <w:sz w:val="18"/>
                <w:szCs w:val="18"/>
              </w:rPr>
              <w:t>面向全国</w:t>
            </w:r>
          </w:p>
        </w:tc>
        <w:tc>
          <w:tcPr>
            <w:tcW w:w="2385" w:type="dxa"/>
            <w:vAlign w:val="center"/>
          </w:tcPr>
          <w:p>
            <w:pPr>
              <w:widowControl/>
              <w:spacing w:line="240" w:lineRule="exact"/>
              <w:rPr>
                <w:rFonts w:hint="default" w:ascii="Times New Roman" w:hAnsi="Times New Roman" w:cs="Times New Roman"/>
                <w:kern w:val="0"/>
                <w:sz w:val="18"/>
                <w:szCs w:val="18"/>
              </w:rPr>
            </w:pPr>
            <w:r>
              <w:rPr>
                <w:rFonts w:hint="default" w:ascii="Times New Roman" w:hAnsi="Times New Roman" w:cs="Times New Roman"/>
                <w:kern w:val="0"/>
                <w:sz w:val="18"/>
                <w:szCs w:val="18"/>
              </w:rPr>
              <w:t>符合下列条件之一：</w:t>
            </w:r>
          </w:p>
          <w:p>
            <w:pPr>
              <w:widowControl/>
              <w:spacing w:line="240" w:lineRule="exact"/>
              <w:rPr>
                <w:rFonts w:hint="default" w:ascii="Times New Roman" w:hAnsi="Times New Roman" w:cs="Times New Roman"/>
                <w:kern w:val="0"/>
                <w:sz w:val="18"/>
                <w:szCs w:val="18"/>
              </w:rPr>
            </w:pPr>
            <w:r>
              <w:rPr>
                <w:rFonts w:hint="default" w:ascii="Times New Roman" w:hAnsi="Times New Roman" w:cs="Times New Roman"/>
                <w:kern w:val="0"/>
                <w:sz w:val="18"/>
                <w:szCs w:val="18"/>
              </w:rPr>
              <w:t>1</w:t>
            </w:r>
            <w:r>
              <w:rPr>
                <w:rFonts w:hint="default" w:ascii="Times New Roman" w:hAnsi="Times New Roman" w:cs="Times New Roman"/>
                <w:kern w:val="0"/>
                <w:sz w:val="18"/>
                <w:szCs w:val="18"/>
                <w:lang w:val="en-US" w:eastAsia="zh-CN"/>
              </w:rPr>
              <w:t>.</w:t>
            </w:r>
            <w:r>
              <w:rPr>
                <w:rFonts w:hint="default" w:ascii="Times New Roman" w:hAnsi="Times New Roman" w:cs="Times New Roman"/>
                <w:kern w:val="0"/>
                <w:sz w:val="18"/>
                <w:szCs w:val="18"/>
              </w:rPr>
              <w:t>2024年</w:t>
            </w:r>
            <w:r>
              <w:rPr>
                <w:rFonts w:hint="default" w:ascii="宋体" w:hAnsi="宋体" w:eastAsia="宋体" w:cs="宋体"/>
                <w:color w:val="000000"/>
                <w:kern w:val="2"/>
                <w:sz w:val="18"/>
                <w:szCs w:val="18"/>
                <w:lang w:val="en-US" w:eastAsia="zh-CN" w:bidi="ar-SA"/>
              </w:rPr>
              <w:t>普通高等院校</w:t>
            </w:r>
            <w:r>
              <w:rPr>
                <w:rFonts w:hint="default" w:ascii="Times New Roman" w:hAnsi="Times New Roman" w:cs="Times New Roman"/>
                <w:kern w:val="0"/>
                <w:sz w:val="18"/>
                <w:szCs w:val="18"/>
              </w:rPr>
              <w:t>应届毕业生；</w:t>
            </w:r>
          </w:p>
          <w:p>
            <w:pPr>
              <w:widowControl/>
              <w:spacing w:line="240" w:lineRule="exact"/>
              <w:rPr>
                <w:rFonts w:hint="default" w:ascii="Times New Roman" w:hAnsi="Times New Roman" w:eastAsia="宋体" w:cs="Times New Roman"/>
                <w:bCs/>
                <w:kern w:val="0"/>
                <w:sz w:val="18"/>
                <w:szCs w:val="18"/>
                <w:lang w:val="en-US" w:eastAsia="zh-CN" w:bidi="ar-SA"/>
              </w:rPr>
            </w:pPr>
            <w:r>
              <w:rPr>
                <w:rFonts w:hint="default" w:ascii="Times New Roman" w:hAnsi="Times New Roman" w:cs="Times New Roman"/>
                <w:bCs/>
                <w:kern w:val="0"/>
                <w:sz w:val="18"/>
                <w:szCs w:val="18"/>
              </w:rPr>
              <w:t>2</w:t>
            </w:r>
            <w:r>
              <w:rPr>
                <w:rFonts w:hint="default" w:ascii="Times New Roman" w:hAnsi="Times New Roman" w:cs="Times New Roman"/>
                <w:bCs/>
                <w:kern w:val="0"/>
                <w:sz w:val="18"/>
                <w:szCs w:val="18"/>
                <w:lang w:val="en-US" w:eastAsia="zh-CN"/>
              </w:rPr>
              <w:t>.</w:t>
            </w:r>
            <w:r>
              <w:rPr>
                <w:rFonts w:hint="default" w:ascii="Times New Roman" w:hAnsi="Times New Roman" w:cs="Times New Roman"/>
                <w:kern w:val="0"/>
                <w:sz w:val="18"/>
                <w:szCs w:val="18"/>
              </w:rPr>
              <w:t>有</w:t>
            </w:r>
            <w:r>
              <w:rPr>
                <w:rFonts w:hint="default" w:ascii="Times New Roman" w:hAnsi="Times New Roman" w:cs="Times New Roman"/>
                <w:kern w:val="0"/>
                <w:sz w:val="18"/>
                <w:szCs w:val="18"/>
                <w:lang w:val="en-US" w:eastAsia="zh-CN"/>
              </w:rPr>
              <w:t>2</w:t>
            </w:r>
            <w:r>
              <w:rPr>
                <w:rFonts w:hint="default" w:ascii="Times New Roman" w:hAnsi="Times New Roman" w:cs="Times New Roman"/>
                <w:kern w:val="0"/>
                <w:sz w:val="18"/>
                <w:szCs w:val="18"/>
              </w:rPr>
              <w:t>年</w:t>
            </w:r>
            <w:r>
              <w:rPr>
                <w:rFonts w:hint="default" w:ascii="Times New Roman" w:hAnsi="Times New Roman" w:cs="Times New Roman"/>
                <w:kern w:val="0"/>
                <w:sz w:val="18"/>
                <w:szCs w:val="18"/>
                <w:lang w:eastAsia="zh-CN"/>
              </w:rPr>
              <w:t>及</w:t>
            </w:r>
            <w:r>
              <w:rPr>
                <w:rFonts w:hint="default" w:ascii="Times New Roman" w:hAnsi="Times New Roman" w:cs="Times New Roman"/>
                <w:kern w:val="0"/>
                <w:sz w:val="18"/>
                <w:szCs w:val="18"/>
              </w:rPr>
              <w:t>以上三级医院设备管理工作经历</w:t>
            </w:r>
            <w:r>
              <w:rPr>
                <w:rFonts w:hint="default" w:ascii="Times New Roman" w:hAnsi="Times New Roman" w:cs="Times New Roman"/>
                <w:kern w:val="0"/>
                <w:sz w:val="18"/>
                <w:szCs w:val="18"/>
                <w:lang w:eastAsia="zh-CN"/>
              </w:rPr>
              <w:t>；</w:t>
            </w:r>
            <w:r>
              <w:rPr>
                <w:rFonts w:hint="default" w:ascii="Times New Roman" w:hAnsi="Times New Roman" w:cs="Times New Roman"/>
                <w:kern w:val="0"/>
                <w:sz w:val="18"/>
                <w:szCs w:val="18"/>
              </w:rPr>
              <w:t>具有工程师（医疗器械专业）及以上专业技术任职资格</w:t>
            </w:r>
            <w:r>
              <w:rPr>
                <w:rFonts w:hint="default" w:ascii="Times New Roman" w:hAnsi="Times New Roman" w:cs="Times New Roman"/>
                <w:kern w:val="0"/>
                <w:sz w:val="18"/>
                <w:szCs w:val="18"/>
                <w:lang w:eastAsia="zh-CN"/>
              </w:rPr>
              <w:t>；</w:t>
            </w:r>
            <w:r>
              <w:rPr>
                <w:rFonts w:hint="default" w:ascii="Times New Roman" w:hAnsi="Times New Roman" w:cs="Times New Roman"/>
                <w:kern w:val="0"/>
                <w:sz w:val="18"/>
                <w:szCs w:val="18"/>
              </w:rPr>
              <w:t>历届生，年龄35周岁以下。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Align w:val="center"/>
          </w:tcPr>
          <w:p>
            <w:pPr>
              <w:spacing w:line="240" w:lineRule="exact"/>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12名</w:t>
            </w:r>
          </w:p>
        </w:tc>
        <w:tc>
          <w:tcPr>
            <w:tcW w:w="1026" w:type="dxa"/>
            <w:vAlign w:val="center"/>
          </w:tcPr>
          <w:p>
            <w:pPr>
              <w:widowControl/>
              <w:spacing w:line="240" w:lineRule="exact"/>
              <w:jc w:val="center"/>
              <w:rPr>
                <w:rFonts w:hint="default" w:ascii="Times New Roman" w:hAnsi="Times New Roman" w:cs="Times New Roman"/>
                <w:bCs/>
                <w:kern w:val="0"/>
                <w:sz w:val="18"/>
                <w:szCs w:val="18"/>
                <w:lang w:eastAsia="zh-CN"/>
              </w:rPr>
            </w:pPr>
          </w:p>
        </w:tc>
        <w:tc>
          <w:tcPr>
            <w:tcW w:w="392" w:type="dxa"/>
            <w:vAlign w:val="center"/>
          </w:tcPr>
          <w:p>
            <w:pPr>
              <w:widowControl/>
              <w:spacing w:line="240" w:lineRule="exact"/>
              <w:jc w:val="center"/>
              <w:rPr>
                <w:rFonts w:hint="default" w:ascii="Times New Roman" w:hAnsi="Times New Roman" w:cs="Times New Roman"/>
                <w:bCs/>
                <w:kern w:val="0"/>
                <w:sz w:val="18"/>
                <w:szCs w:val="18"/>
                <w:lang w:val="en-US" w:eastAsia="zh-CN"/>
              </w:rPr>
            </w:pPr>
          </w:p>
        </w:tc>
        <w:tc>
          <w:tcPr>
            <w:tcW w:w="2245" w:type="dxa"/>
            <w:vAlign w:val="center"/>
          </w:tcPr>
          <w:p>
            <w:pPr>
              <w:widowControl/>
              <w:spacing w:line="240" w:lineRule="exact"/>
              <w:rPr>
                <w:rFonts w:hint="default" w:ascii="Times New Roman" w:hAnsi="Times New Roman" w:cs="Times New Roman"/>
                <w:bCs/>
                <w:kern w:val="0"/>
                <w:sz w:val="18"/>
                <w:szCs w:val="18"/>
                <w:lang w:eastAsia="zh-CN"/>
              </w:rPr>
            </w:pPr>
          </w:p>
        </w:tc>
        <w:tc>
          <w:tcPr>
            <w:tcW w:w="2858" w:type="dxa"/>
            <w:tcBorders>
              <w:bottom w:val="single" w:color="auto" w:sz="4" w:space="0"/>
            </w:tcBorders>
            <w:vAlign w:val="center"/>
          </w:tcPr>
          <w:p>
            <w:pPr>
              <w:widowControl/>
              <w:spacing w:line="240" w:lineRule="exact"/>
              <w:rPr>
                <w:rFonts w:hint="default" w:ascii="Times New Roman" w:hAnsi="Times New Roman" w:cs="Times New Roman"/>
                <w:sz w:val="18"/>
                <w:szCs w:val="18"/>
              </w:rPr>
            </w:pPr>
          </w:p>
        </w:tc>
        <w:tc>
          <w:tcPr>
            <w:tcW w:w="851" w:type="dxa"/>
            <w:vAlign w:val="center"/>
          </w:tcPr>
          <w:p>
            <w:pPr>
              <w:spacing w:line="240" w:lineRule="exact"/>
              <w:jc w:val="center"/>
              <w:rPr>
                <w:rFonts w:hint="default" w:ascii="Times New Roman" w:hAnsi="Times New Roman" w:cs="Times New Roman"/>
                <w:color w:val="000000"/>
                <w:sz w:val="18"/>
                <w:szCs w:val="18"/>
              </w:rPr>
            </w:pPr>
          </w:p>
        </w:tc>
        <w:tc>
          <w:tcPr>
            <w:tcW w:w="2385" w:type="dxa"/>
            <w:vAlign w:val="center"/>
          </w:tcPr>
          <w:p>
            <w:pPr>
              <w:widowControl/>
              <w:spacing w:line="240" w:lineRule="exact"/>
              <w:rPr>
                <w:rFonts w:hint="default" w:ascii="Times New Roman" w:hAnsi="Times New Roman" w:cs="Times New Roman"/>
                <w:bCs/>
                <w:kern w:val="0"/>
                <w:sz w:val="18"/>
                <w:szCs w:val="18"/>
              </w:rPr>
            </w:pPr>
          </w:p>
        </w:tc>
      </w:tr>
    </w:tbl>
    <w:p>
      <w:pPr>
        <w:spacing w:line="360" w:lineRule="auto"/>
        <w:ind w:firstLine="480" w:firstLineChars="200"/>
        <w:rPr>
          <w:rFonts w:ascii="宋体" w:hAnsi="宋体" w:cs="宋体"/>
          <w:sz w:val="24"/>
          <w:szCs w:val="24"/>
        </w:rPr>
      </w:pPr>
      <w:r>
        <w:rPr>
          <w:rFonts w:hint="default" w:ascii="Times New Roman" w:hAnsi="Times New Roman" w:cs="Times New Roman"/>
          <w:sz w:val="24"/>
          <w:szCs w:val="24"/>
        </w:rPr>
        <w:t>注：</w:t>
      </w:r>
    </w:p>
    <w:p>
      <w:pPr>
        <w:spacing w:line="360" w:lineRule="auto"/>
        <w:ind w:firstLine="480" w:firstLineChars="200"/>
        <w:rPr>
          <w:rFonts w:ascii="宋体" w:hAnsi="宋体" w:cs="宋体"/>
          <w:sz w:val="24"/>
          <w:szCs w:val="24"/>
        </w:rPr>
      </w:pPr>
      <w:r>
        <w:rPr>
          <w:rFonts w:hint="eastAsia" w:ascii="宋体" w:hAnsi="宋体" w:cs="宋体"/>
          <w:sz w:val="24"/>
          <w:szCs w:val="24"/>
        </w:rPr>
        <w:t>1、2024年普通高等院校应届毕业生需在2024年9月30日取得相应的学历、学位。2023年10月1日至2024年9月30日毕业的国（境）外留学回国（境）人员可等同于国内2024年普通应届毕业生，报考时仍未毕业的可凭国（境）外学校学籍证明报名,但须于2024年12月31日前取得国家教育部出具的学历学位认证书（到时未取得的不予录用），专业相近的以所学课程为准。</w:t>
      </w:r>
    </w:p>
    <w:p>
      <w:pPr>
        <w:numPr>
          <w:ilvl w:val="0"/>
          <w:numId w:val="1"/>
        </w:numPr>
        <w:spacing w:line="360" w:lineRule="auto"/>
        <w:ind w:firstLine="480" w:firstLineChars="200"/>
        <w:rPr>
          <w:rFonts w:ascii="宋体" w:hAnsi="宋体" w:cs="宋体"/>
          <w:sz w:val="24"/>
          <w:szCs w:val="24"/>
        </w:rPr>
      </w:pPr>
      <w:r>
        <w:rPr>
          <w:rFonts w:hint="eastAsia" w:ascii="宋体" w:hAnsi="宋体" w:cs="宋体"/>
          <w:sz w:val="24"/>
          <w:szCs w:val="24"/>
        </w:rPr>
        <w:t>除面向2024年普通高等院校应届毕业生的岗位外，其他岗位要求的学历（学位）、职称、执业资格、上岗合格证书、规培合格证书取得时间和年龄、工作经历计算截止时间均为公告发布之日。</w:t>
      </w:r>
    </w:p>
    <w:p>
      <w:pPr>
        <w:spacing w:line="360" w:lineRule="auto"/>
        <w:ind w:firstLine="480" w:firstLineChars="200"/>
        <w:rPr>
          <w:rFonts w:ascii="宋体" w:hAnsi="宋体" w:cs="宋体"/>
          <w:sz w:val="24"/>
          <w:szCs w:val="24"/>
        </w:rPr>
      </w:pPr>
      <w:r>
        <w:rPr>
          <w:rFonts w:hint="eastAsia" w:ascii="宋体" w:hAnsi="宋体" w:cs="宋体"/>
          <w:sz w:val="24"/>
          <w:szCs w:val="24"/>
        </w:rPr>
        <w:t>3、面向社会招收的住院医师如为普通高校应届毕业生的，其住培合格当年在医疗卫生机构就业，按当年应届毕业生同等对待。经住培合格的本科学历临床医师，与临床医学、口腔医学、中医专业学位硕士研究生同等对待（其中住培合格证书中的培训专业原则上应当与招聘岗位的专业或类别要求相一致）。</w:t>
      </w:r>
    </w:p>
    <w:p>
      <w:pPr>
        <w:spacing w:line="360" w:lineRule="auto"/>
        <w:ind w:firstLine="480" w:firstLineChars="200"/>
        <w:rPr>
          <w:rFonts w:ascii="宋体" w:hAnsi="宋体" w:cs="宋体"/>
          <w:sz w:val="24"/>
          <w:szCs w:val="24"/>
        </w:rPr>
      </w:pPr>
      <w:r>
        <w:rPr>
          <w:rFonts w:hint="eastAsia" w:ascii="宋体" w:hAnsi="宋体" w:cs="宋体"/>
          <w:sz w:val="24"/>
          <w:szCs w:val="24"/>
        </w:rPr>
        <w:t>下列情形者视同2024年普通应届毕业生对待：1.2022年、2023年普通高校毕业生（2021年10月1日至2023年9月30日毕业），或同期毕业并可在2024年12月底前取得学位证书和国家教育部出具的学历学位认证书的国（境）外留学人员；2.列入国家统招计划，由培养学校统一进行就业推荐和毕业派遣，按培养计划应于2024年毕业，有类似初次就业需求的非全日制研究生（不含在职攻读学历学位人员）；3.按国家政策规定享受应届毕业生就业待遇的其他情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4、宁波市临床病理诊断中心招聘人员工作地点在该中心，其中：</w:t>
      </w:r>
      <w:r>
        <w:rPr>
          <w:rFonts w:hint="eastAsia" w:ascii="宋体" w:hAnsi="宋体" w:cs="宋体"/>
          <w:sz w:val="24"/>
          <w:szCs w:val="24"/>
          <w:lang w:eastAsia="zh-CN"/>
        </w:rPr>
        <w:t>设备管理</w:t>
      </w:r>
      <w:r>
        <w:rPr>
          <w:rFonts w:hint="eastAsia" w:ascii="宋体" w:hAnsi="宋体" w:cs="宋体"/>
          <w:sz w:val="24"/>
          <w:szCs w:val="24"/>
        </w:rPr>
        <w:t>岗位人员编制在宁波市</w:t>
      </w:r>
      <w:r>
        <w:rPr>
          <w:rFonts w:hint="eastAsia" w:ascii="宋体" w:hAnsi="宋体" w:cs="宋体"/>
          <w:sz w:val="24"/>
          <w:szCs w:val="24"/>
          <w:lang w:eastAsia="zh-CN"/>
        </w:rPr>
        <w:t>中</w:t>
      </w:r>
      <w:r>
        <w:rPr>
          <w:rFonts w:hint="eastAsia" w:ascii="宋体" w:hAnsi="宋体" w:cs="宋体"/>
          <w:sz w:val="24"/>
          <w:szCs w:val="24"/>
        </w:rPr>
        <w:t>医院，由宁波市临床病理诊断中心负责具体招聘工作。</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按照《关于建立“三项制度”进一步规范事业单位进人的通知》（甬人社发〔2015〕177号）规定，对有与领导干部系夫妻关系、直系血亲关系、三代以内旁系血亲或者近姻亲关系的报考人员参加领导干部任职的部门所属事业单位或本单位公开招聘，领导干部应当逐级落实事前报备制度。</w:t>
      </w:r>
    </w:p>
    <w:p/>
    <w:sectPr>
      <w:pgSz w:w="11906" w:h="16838"/>
      <w:pgMar w:top="1440" w:right="1293" w:bottom="1440"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E933B"/>
    <w:multiLevelType w:val="singleLevel"/>
    <w:tmpl w:val="EFBE933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2"/>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89A"/>
    <w:rsid w:val="002A0F2C"/>
    <w:rsid w:val="00510184"/>
    <w:rsid w:val="00621694"/>
    <w:rsid w:val="008A1CD7"/>
    <w:rsid w:val="00976AE4"/>
    <w:rsid w:val="009C089A"/>
    <w:rsid w:val="009D0492"/>
    <w:rsid w:val="00AE3D20"/>
    <w:rsid w:val="00B079D4"/>
    <w:rsid w:val="00B1316C"/>
    <w:rsid w:val="00BD3F8E"/>
    <w:rsid w:val="00C0449A"/>
    <w:rsid w:val="00D91AA6"/>
    <w:rsid w:val="00DC018A"/>
    <w:rsid w:val="00DC409F"/>
    <w:rsid w:val="00E27EDA"/>
    <w:rsid w:val="00F43D07"/>
    <w:rsid w:val="03C62E5F"/>
    <w:rsid w:val="09642C91"/>
    <w:rsid w:val="0BFE7602"/>
    <w:rsid w:val="0C342342"/>
    <w:rsid w:val="0D5C246E"/>
    <w:rsid w:val="19135E74"/>
    <w:rsid w:val="1924366C"/>
    <w:rsid w:val="1B552CB2"/>
    <w:rsid w:val="1DAB35EB"/>
    <w:rsid w:val="1EEFE8F5"/>
    <w:rsid w:val="1F37D09E"/>
    <w:rsid w:val="216D4B0B"/>
    <w:rsid w:val="21DA616D"/>
    <w:rsid w:val="235D2E51"/>
    <w:rsid w:val="23604FED"/>
    <w:rsid w:val="24DA23D7"/>
    <w:rsid w:val="267FEC23"/>
    <w:rsid w:val="26A993B4"/>
    <w:rsid w:val="2D5F0DA7"/>
    <w:rsid w:val="2F1124CB"/>
    <w:rsid w:val="306306DB"/>
    <w:rsid w:val="318E44B0"/>
    <w:rsid w:val="33092369"/>
    <w:rsid w:val="33A27A47"/>
    <w:rsid w:val="36DDF0D6"/>
    <w:rsid w:val="37BD09FB"/>
    <w:rsid w:val="3AA456DE"/>
    <w:rsid w:val="3BFEA622"/>
    <w:rsid w:val="3CD652B8"/>
    <w:rsid w:val="3DFFA18A"/>
    <w:rsid w:val="3E0E0665"/>
    <w:rsid w:val="3EFF3474"/>
    <w:rsid w:val="410E7FFE"/>
    <w:rsid w:val="4AA56B59"/>
    <w:rsid w:val="4FE5A94B"/>
    <w:rsid w:val="51FFFDF9"/>
    <w:rsid w:val="56DE3E4E"/>
    <w:rsid w:val="5DBB1A48"/>
    <w:rsid w:val="5F120172"/>
    <w:rsid w:val="5F2B1C93"/>
    <w:rsid w:val="61050794"/>
    <w:rsid w:val="65003261"/>
    <w:rsid w:val="651D3894"/>
    <w:rsid w:val="67703EEE"/>
    <w:rsid w:val="6A337B3E"/>
    <w:rsid w:val="6AAB3E3D"/>
    <w:rsid w:val="6CF97660"/>
    <w:rsid w:val="6D146DDC"/>
    <w:rsid w:val="6EAC571B"/>
    <w:rsid w:val="6F99E9E7"/>
    <w:rsid w:val="6FE1DDB1"/>
    <w:rsid w:val="76183433"/>
    <w:rsid w:val="774C5E8B"/>
    <w:rsid w:val="7A4F5C1D"/>
    <w:rsid w:val="7BEBC253"/>
    <w:rsid w:val="7C5D54B6"/>
    <w:rsid w:val="7DC5F709"/>
    <w:rsid w:val="7E05056C"/>
    <w:rsid w:val="7E2FFC53"/>
    <w:rsid w:val="7FA5CE06"/>
    <w:rsid w:val="7FDC6E92"/>
    <w:rsid w:val="9D7FFAEF"/>
    <w:rsid w:val="B7EF0740"/>
    <w:rsid w:val="BFFE7654"/>
    <w:rsid w:val="C797ED0E"/>
    <w:rsid w:val="CF6FBD7D"/>
    <w:rsid w:val="DCCD2E1B"/>
    <w:rsid w:val="DDB391EB"/>
    <w:rsid w:val="DDFF7E58"/>
    <w:rsid w:val="DF6B3C60"/>
    <w:rsid w:val="DFBCE97B"/>
    <w:rsid w:val="E7B76B43"/>
    <w:rsid w:val="E7FF8B49"/>
    <w:rsid w:val="E95D5112"/>
    <w:rsid w:val="ECF82B29"/>
    <w:rsid w:val="ED7EA517"/>
    <w:rsid w:val="F66B6C9C"/>
    <w:rsid w:val="F7B1C3D8"/>
    <w:rsid w:val="FB73F566"/>
    <w:rsid w:val="FB7FFA2E"/>
    <w:rsid w:val="FCBD6282"/>
    <w:rsid w:val="FDD7B0FC"/>
    <w:rsid w:val="FF1D0D7D"/>
    <w:rsid w:val="FF7BCC2C"/>
    <w:rsid w:val="FFBB6401"/>
    <w:rsid w:val="FFC1CDA3"/>
    <w:rsid w:val="FFFF7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pPr>
    <w:rPr>
      <w:rFonts w:asciiTheme="minorHAnsi" w:hAnsiTheme="minorHAnsi" w:cstheme="minorBidi"/>
      <w:sz w:val="18"/>
      <w:szCs w:val="18"/>
    </w:rPr>
  </w:style>
  <w:style w:type="paragraph" w:styleId="3">
    <w:name w:val="Normal (Web)"/>
    <w:basedOn w:val="1"/>
    <w:qFormat/>
    <w:uiPriority w:val="0"/>
    <w:pPr>
      <w:spacing w:before="100" w:beforeAutospacing="1" w:after="100" w:afterAutospacing="1"/>
      <w:jc w:val="left"/>
    </w:pPr>
    <w:rPr>
      <w:rFonts w:ascii="Calibri" w:hAnsi="Calibri"/>
      <w:kern w:val="0"/>
      <w:sz w:val="24"/>
      <w:szCs w:val="24"/>
    </w:rPr>
  </w:style>
  <w:style w:type="character" w:customStyle="1" w:styleId="6">
    <w:name w:val="font41"/>
    <w:basedOn w:val="5"/>
    <w:qFormat/>
    <w:uiPriority w:val="0"/>
    <w:rPr>
      <w:rFonts w:hint="eastAsia" w:ascii="宋体" w:hAnsi="宋体" w:eastAsia="宋体" w:cs="宋体"/>
      <w:color w:val="000000"/>
      <w:sz w:val="16"/>
      <w:szCs w:val="16"/>
      <w:u w:val="none"/>
    </w:rPr>
  </w:style>
  <w:style w:type="character" w:customStyle="1" w:styleId="7">
    <w:name w:val="font11"/>
    <w:basedOn w:val="5"/>
    <w:qFormat/>
    <w:uiPriority w:val="0"/>
    <w:rPr>
      <w:rFonts w:hint="default" w:ascii="楷体_GB2312" w:eastAsia="楷体_GB2312" w:cs="楷体_GB2312"/>
      <w:color w:val="000000"/>
      <w:sz w:val="16"/>
      <w:szCs w:val="16"/>
      <w:u w:val="none"/>
    </w:rPr>
  </w:style>
  <w:style w:type="character" w:customStyle="1" w:styleId="8">
    <w:name w:val="页脚 字符"/>
    <w:link w:val="2"/>
    <w:qFormat/>
    <w:locked/>
    <w:uiPriority w:val="0"/>
    <w:rPr>
      <w:rFonts w:eastAsia="宋体"/>
      <w:sz w:val="18"/>
      <w:szCs w:val="18"/>
    </w:rPr>
  </w:style>
  <w:style w:type="character" w:customStyle="1" w:styleId="9">
    <w:name w:val="页脚 字符1"/>
    <w:basedOn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368</Words>
  <Characters>2103</Characters>
  <Lines>17</Lines>
  <Paragraphs>4</Paragraphs>
  <TotalTime>10</TotalTime>
  <ScaleCrop>false</ScaleCrop>
  <LinksUpToDate>false</LinksUpToDate>
  <CharactersWithSpaces>2467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2023-12-30T04:45:00Z</dcterms:created>
  <dc:creator>琼 阮</dc:creator>
  <cp:lastModifiedBy>user</cp:lastModifiedBy>
  <cp:lastPrinted>2024-06-01T19:55:00Z</cp:lastPrinted>
  <dcterms:modified xsi:type="dcterms:W3CDTF">2024-06-13T16:53:30Z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