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8D" w:rsidRDefault="00C8578D" w:rsidP="00C8578D">
      <w:pPr>
        <w:jc w:val="center"/>
        <w:rPr>
          <w:rFonts w:ascii="仿宋" w:eastAsia="仿宋" w:hAnsi="仿宋" w:cs="仿宋"/>
          <w:sz w:val="32"/>
          <w:szCs w:val="32"/>
        </w:rPr>
      </w:pPr>
      <w:r>
        <w:rPr>
          <w:rFonts w:ascii="方正小标宋简体" w:eastAsia="方正小标宋简体" w:hint="eastAsia"/>
          <w:bCs/>
          <w:sz w:val="32"/>
          <w:szCs w:val="32"/>
        </w:rPr>
        <w:t>2024年闽南师范大学公开招聘总量</w:t>
      </w:r>
      <w:proofErr w:type="gramStart"/>
      <w:r>
        <w:rPr>
          <w:rFonts w:ascii="方正小标宋简体" w:eastAsia="方正小标宋简体" w:hint="eastAsia"/>
          <w:bCs/>
          <w:sz w:val="32"/>
          <w:szCs w:val="32"/>
        </w:rPr>
        <w:t>外教师</w:t>
      </w:r>
      <w:proofErr w:type="gramEnd"/>
      <w:r>
        <w:rPr>
          <w:rFonts w:ascii="方正小标宋简体" w:eastAsia="方正小标宋简体" w:hint="eastAsia"/>
          <w:bCs/>
          <w:sz w:val="32"/>
          <w:szCs w:val="32"/>
        </w:rPr>
        <w:t>岗位汇总表</w:t>
      </w:r>
    </w:p>
    <w:tbl>
      <w:tblPr>
        <w:tblW w:w="15309"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70"/>
        <w:gridCol w:w="850"/>
        <w:gridCol w:w="708"/>
        <w:gridCol w:w="1116"/>
        <w:gridCol w:w="3059"/>
        <w:gridCol w:w="2344"/>
        <w:gridCol w:w="2410"/>
        <w:gridCol w:w="709"/>
        <w:gridCol w:w="3543"/>
      </w:tblGrid>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序号</w:t>
            </w:r>
          </w:p>
        </w:tc>
        <w:tc>
          <w:tcPr>
            <w:tcW w:w="850"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用人</w:t>
            </w:r>
            <w:r w:rsidR="00A9673A">
              <w:rPr>
                <w:rFonts w:ascii="仿宋" w:eastAsia="仿宋" w:hAnsi="仿宋" w:cs="宋体" w:hint="eastAsia"/>
                <w:b/>
                <w:bCs/>
                <w:color w:val="000000"/>
                <w:kern w:val="0"/>
                <w:sz w:val="24"/>
                <w:szCs w:val="24"/>
              </w:rPr>
              <w:t>部门</w:t>
            </w:r>
          </w:p>
        </w:tc>
        <w:tc>
          <w:tcPr>
            <w:tcW w:w="708"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人员</w:t>
            </w:r>
          </w:p>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类型</w:t>
            </w:r>
          </w:p>
        </w:tc>
        <w:tc>
          <w:tcPr>
            <w:tcW w:w="1116"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岗位类型</w:t>
            </w:r>
          </w:p>
        </w:tc>
        <w:tc>
          <w:tcPr>
            <w:tcW w:w="0" w:type="auto"/>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专业</w:t>
            </w:r>
          </w:p>
        </w:tc>
        <w:tc>
          <w:tcPr>
            <w:tcW w:w="2344"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方向</w:t>
            </w:r>
          </w:p>
        </w:tc>
        <w:tc>
          <w:tcPr>
            <w:tcW w:w="2410" w:type="dxa"/>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学历学位</w:t>
            </w:r>
          </w:p>
        </w:tc>
        <w:tc>
          <w:tcPr>
            <w:tcW w:w="709"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招聘人数</w:t>
            </w:r>
          </w:p>
        </w:tc>
        <w:tc>
          <w:tcPr>
            <w:tcW w:w="3543" w:type="dxa"/>
            <w:shd w:val="clear" w:color="auto" w:fill="auto"/>
            <w:vAlign w:val="center"/>
          </w:tcPr>
          <w:p w:rsidR="00C8578D" w:rsidRPr="00A9673A" w:rsidRDefault="00C8578D" w:rsidP="00F95BBD">
            <w:pPr>
              <w:widowControl/>
              <w:jc w:val="center"/>
              <w:rPr>
                <w:rFonts w:ascii="仿宋" w:eastAsia="仿宋" w:hAnsi="仿宋" w:cs="宋体"/>
                <w:b/>
                <w:bCs/>
                <w:color w:val="000000"/>
                <w:kern w:val="0"/>
                <w:sz w:val="24"/>
                <w:szCs w:val="24"/>
              </w:rPr>
            </w:pPr>
            <w:r w:rsidRPr="00A9673A">
              <w:rPr>
                <w:rFonts w:ascii="仿宋" w:eastAsia="仿宋" w:hAnsi="仿宋" w:cs="宋体" w:hint="eastAsia"/>
                <w:b/>
                <w:bCs/>
                <w:color w:val="000000"/>
                <w:kern w:val="0"/>
                <w:sz w:val="24"/>
                <w:szCs w:val="24"/>
              </w:rPr>
              <w:t>其他要求</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01</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马克思主义学院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马克思主义理论类</w:t>
            </w:r>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
        </w:tc>
        <w:tc>
          <w:tcPr>
            <w:tcW w:w="2410" w:type="dxa"/>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研究生学历，硕士及以上学位</w:t>
            </w:r>
          </w:p>
        </w:tc>
        <w:tc>
          <w:tcPr>
            <w:tcW w:w="709" w:type="dxa"/>
            <w:tcBorders>
              <w:top w:val="single" w:sz="4" w:space="0" w:color="auto"/>
              <w:bottom w:val="single" w:sz="4" w:space="0" w:color="auto"/>
            </w:tcBorders>
            <w:shd w:val="clear" w:color="auto" w:fill="auto"/>
            <w:vAlign w:val="center"/>
          </w:tcPr>
          <w:p w:rsidR="00C8578D" w:rsidRPr="00A9673A" w:rsidRDefault="00C8578D" w:rsidP="005663D5">
            <w:pPr>
              <w:widowControl/>
              <w:jc w:val="center"/>
              <w:rPr>
                <w:rFonts w:ascii="仿宋_GB2312" w:eastAsia="仿宋_GB2312" w:hAnsi="仿宋" w:cs="宋体"/>
                <w:color w:val="000000"/>
                <w:kern w:val="0"/>
                <w:sz w:val="24"/>
                <w:szCs w:val="24"/>
              </w:rPr>
            </w:pPr>
            <w:bookmarkStart w:id="0" w:name="_GoBack"/>
            <w:r w:rsidRPr="00A9673A">
              <w:rPr>
                <w:rFonts w:ascii="仿宋_GB2312" w:eastAsia="仿宋_GB2312" w:hAnsi="仿宋" w:cs="宋体" w:hint="eastAsia"/>
                <w:color w:val="000000"/>
                <w:kern w:val="0"/>
                <w:sz w:val="24"/>
                <w:szCs w:val="24"/>
              </w:rPr>
              <w:t>5</w:t>
            </w:r>
            <w:bookmarkEnd w:id="0"/>
          </w:p>
        </w:tc>
        <w:tc>
          <w:tcPr>
            <w:tcW w:w="3543" w:type="dxa"/>
            <w:shd w:val="clear" w:color="auto" w:fill="auto"/>
            <w:vAlign w:val="center"/>
          </w:tcPr>
          <w:p w:rsidR="00C8578D" w:rsidRPr="00A9673A" w:rsidRDefault="00C8578D" w:rsidP="00620A35">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1.中共党员（含预备党员）；</w:t>
            </w:r>
          </w:p>
          <w:p w:rsidR="00C8578D" w:rsidRPr="00A9673A" w:rsidRDefault="00C8578D" w:rsidP="00620A35">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2.入职5年内考取博士者，签约博士毕业</w:t>
            </w:r>
            <w:r w:rsidR="00620A35" w:rsidRPr="00A9673A">
              <w:rPr>
                <w:rFonts w:ascii="仿宋_GB2312" w:eastAsia="仿宋_GB2312" w:hAnsi="仿宋" w:cs="宋体" w:hint="eastAsia"/>
                <w:color w:val="000000"/>
                <w:kern w:val="0"/>
                <w:sz w:val="24"/>
                <w:szCs w:val="24"/>
              </w:rPr>
              <w:t>取得证书当年在符合福建省</w:t>
            </w:r>
            <w:r w:rsidR="00620A35" w:rsidRPr="00A9673A">
              <w:rPr>
                <w:rFonts w:ascii="仿宋_GB2312" w:eastAsia="仿宋_GB2312" w:hAnsi="仿宋" w:cs="宋体"/>
                <w:color w:val="000000"/>
                <w:kern w:val="0"/>
                <w:sz w:val="24"/>
                <w:szCs w:val="24"/>
              </w:rPr>
              <w:t>人力资源和社会保障</w:t>
            </w:r>
            <w:r w:rsidR="00620A35" w:rsidRPr="00A9673A">
              <w:rPr>
                <w:rFonts w:ascii="仿宋_GB2312" w:eastAsia="仿宋_GB2312" w:hAnsi="仿宋" w:cs="宋体" w:hint="eastAsia"/>
                <w:color w:val="000000"/>
                <w:kern w:val="0"/>
                <w:sz w:val="24"/>
                <w:szCs w:val="24"/>
              </w:rPr>
              <w:t>厅规</w:t>
            </w:r>
            <w:r w:rsidR="00620A35" w:rsidRPr="00A9673A">
              <w:rPr>
                <w:rFonts w:ascii="仿宋_GB2312" w:eastAsia="仿宋_GB2312" w:hAnsi="仿宋" w:cs="宋体"/>
                <w:color w:val="000000"/>
                <w:kern w:val="0"/>
                <w:sz w:val="24"/>
                <w:szCs w:val="24"/>
              </w:rPr>
              <w:t>定的总量内人员年龄及要求的基础上，纳入总量控制内人员管理，</w:t>
            </w:r>
            <w:r w:rsidR="00620A35" w:rsidRPr="00A9673A">
              <w:rPr>
                <w:rFonts w:ascii="仿宋_GB2312" w:eastAsia="仿宋_GB2312" w:hAnsi="仿宋" w:cs="宋体" w:hint="eastAsia"/>
                <w:color w:val="000000"/>
                <w:kern w:val="0"/>
                <w:sz w:val="24"/>
                <w:szCs w:val="24"/>
              </w:rPr>
              <w:t>引进待遇、服务年限及相关要求按照取得博士学历学位当年省市</w:t>
            </w:r>
            <w:proofErr w:type="gramStart"/>
            <w:r w:rsidR="00620A35" w:rsidRPr="00A9673A">
              <w:rPr>
                <w:rFonts w:ascii="仿宋_GB2312" w:eastAsia="仿宋_GB2312" w:hAnsi="仿宋" w:cs="宋体" w:hint="eastAsia"/>
                <w:color w:val="000000"/>
                <w:kern w:val="0"/>
                <w:sz w:val="24"/>
                <w:szCs w:val="24"/>
              </w:rPr>
              <w:t>校引进</w:t>
            </w:r>
            <w:proofErr w:type="gramEnd"/>
            <w:r w:rsidR="00620A35" w:rsidRPr="00A9673A">
              <w:rPr>
                <w:rFonts w:ascii="仿宋_GB2312" w:eastAsia="仿宋_GB2312" w:hAnsi="仿宋" w:cs="宋体" w:hint="eastAsia"/>
                <w:color w:val="000000"/>
                <w:kern w:val="0"/>
                <w:sz w:val="24"/>
                <w:szCs w:val="24"/>
              </w:rPr>
              <w:t>人才政策待遇执行</w:t>
            </w:r>
            <w:r w:rsidRPr="00A9673A">
              <w:rPr>
                <w:rFonts w:ascii="仿宋_GB2312" w:eastAsia="仿宋_GB2312" w:hAnsi="仿宋" w:cs="宋体" w:hint="eastAsia"/>
                <w:color w:val="000000"/>
                <w:kern w:val="0"/>
                <w:sz w:val="24"/>
                <w:szCs w:val="24"/>
              </w:rPr>
              <w:t>；超过5年仍未考取博士者，予以解聘。</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02</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教育与心理学院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舞蹈表演；舞蹈表演与编导；舞蹈（学）；舞蹈编导；歌舞表演；音乐与舞蹈学；艺术硕士专业（舞蹈）；中国古典舞表演；舞蹈教育；中国古典舞教育</w:t>
            </w:r>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
        </w:tc>
        <w:tc>
          <w:tcPr>
            <w:tcW w:w="2410" w:type="dxa"/>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研究生学历，硕士及以上学位</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left"/>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本硕均为</w:t>
            </w:r>
            <w:proofErr w:type="gramEnd"/>
            <w:r w:rsidRPr="00A9673A">
              <w:rPr>
                <w:rFonts w:ascii="仿宋_GB2312" w:eastAsia="仿宋_GB2312" w:hAnsi="仿宋" w:cs="宋体" w:hint="eastAsia"/>
                <w:color w:val="000000"/>
                <w:kern w:val="0"/>
                <w:sz w:val="24"/>
                <w:szCs w:val="24"/>
              </w:rPr>
              <w:t>同一专业或相近专业。</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03</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足球</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w:t>
            </w:r>
            <w:r w:rsidRPr="00A9673A">
              <w:rPr>
                <w:rFonts w:ascii="仿宋_GB2312" w:eastAsia="仿宋_GB2312" w:hAnsi="仿宋" w:cs="宋体" w:hint="eastAsia"/>
                <w:color w:val="000000"/>
                <w:kern w:val="0"/>
                <w:sz w:val="24"/>
                <w:szCs w:val="24"/>
              </w:rPr>
              <w:lastRenderedPageBreak/>
              <w:t>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lastRenderedPageBreak/>
              <w:t>2</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w:t>
            </w:r>
            <w:r w:rsidRPr="00A9673A">
              <w:rPr>
                <w:rFonts w:ascii="仿宋_GB2312" w:eastAsia="仿宋_GB2312" w:hAnsi="仿宋" w:cs="宋体" w:hint="eastAsia"/>
                <w:color w:val="000000"/>
                <w:kern w:val="0"/>
                <w:sz w:val="24"/>
                <w:szCs w:val="24"/>
              </w:rPr>
              <w:lastRenderedPageBreak/>
              <w:t>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lastRenderedPageBreak/>
              <w:t>04</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篮球</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05</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排球</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06</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田径</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07</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网球</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lastRenderedPageBreak/>
              <w:t>08</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体育学院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roofErr w:type="gramStart"/>
            <w:r w:rsidRPr="00A9673A">
              <w:rPr>
                <w:rFonts w:ascii="仿宋_GB2312" w:eastAsia="仿宋_GB2312" w:hAnsi="仿宋" w:cs="宋体" w:hint="eastAsia"/>
                <w:color w:val="000000"/>
                <w:kern w:val="0"/>
                <w:sz w:val="24"/>
                <w:szCs w:val="24"/>
              </w:rPr>
              <w:t>体育学类</w:t>
            </w:r>
            <w:proofErr w:type="gramEnd"/>
          </w:p>
        </w:tc>
        <w:tc>
          <w:tcPr>
            <w:tcW w:w="2344"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武术</w:t>
            </w:r>
          </w:p>
        </w:tc>
        <w:tc>
          <w:tcPr>
            <w:tcW w:w="2410" w:type="dxa"/>
            <w:vAlign w:val="center"/>
          </w:tcPr>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1、健将级运动员：要求本科学历学士及以上学位毕业生；</w:t>
            </w:r>
          </w:p>
          <w:p w:rsidR="00C8578D" w:rsidRPr="00A9673A" w:rsidRDefault="00C8578D" w:rsidP="00F95BBD">
            <w:pPr>
              <w:widowControl/>
              <w:jc w:val="left"/>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2、一级、二级运动员：要求研究生学历硕士及以上学位毕业生；</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如无运动等级可获由中国大学生体育协会以及由中国大学生体育协会授权的各单项分会主办的全国性大学生单项体育比赛前三名以上的研究生学历硕士及以上学位毕业生。</w:t>
            </w: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09</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新闻传播学院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textAlignment w:val="top"/>
              <w:rPr>
                <w:rFonts w:ascii="仿宋_GB2312" w:eastAsia="仿宋_GB2312" w:hAnsi="宋体" w:cs="宋体"/>
                <w:color w:val="000000"/>
                <w:kern w:val="0"/>
                <w:sz w:val="24"/>
                <w:szCs w:val="24"/>
                <w:lang w:bidi="ar"/>
              </w:rPr>
            </w:pPr>
            <w:r w:rsidRPr="00A9673A">
              <w:rPr>
                <w:rFonts w:ascii="仿宋_GB2312" w:eastAsia="仿宋_GB2312" w:hAnsi="宋体" w:cs="宋体" w:hint="eastAsia"/>
                <w:color w:val="000000"/>
                <w:kern w:val="0"/>
                <w:sz w:val="24"/>
                <w:szCs w:val="24"/>
                <w:lang w:bidi="ar"/>
              </w:rPr>
              <w:t>计算机科学与技术类、艺术</w:t>
            </w:r>
            <w:proofErr w:type="gramStart"/>
            <w:r w:rsidRPr="00A9673A">
              <w:rPr>
                <w:rFonts w:ascii="仿宋_GB2312" w:eastAsia="仿宋_GB2312" w:hAnsi="宋体" w:cs="宋体" w:hint="eastAsia"/>
                <w:color w:val="000000"/>
                <w:kern w:val="0"/>
                <w:sz w:val="24"/>
                <w:szCs w:val="24"/>
                <w:lang w:bidi="ar"/>
              </w:rPr>
              <w:t>设计学类</w:t>
            </w:r>
            <w:proofErr w:type="gramEnd"/>
          </w:p>
        </w:tc>
        <w:tc>
          <w:tcPr>
            <w:tcW w:w="2344" w:type="dxa"/>
            <w:shd w:val="clear" w:color="auto" w:fill="auto"/>
            <w:vAlign w:val="center"/>
          </w:tcPr>
          <w:p w:rsidR="00C8578D" w:rsidRPr="00A9673A" w:rsidRDefault="00C8578D" w:rsidP="00F95BBD">
            <w:pPr>
              <w:jc w:val="left"/>
              <w:rPr>
                <w:rFonts w:ascii="仿宋_GB2312" w:eastAsia="仿宋_GB2312" w:hAnsi="宋体" w:cs="宋体"/>
                <w:color w:val="333333"/>
                <w:kern w:val="0"/>
                <w:sz w:val="24"/>
                <w:szCs w:val="24"/>
              </w:rPr>
            </w:pPr>
            <w:r w:rsidRPr="00A9673A">
              <w:rPr>
                <w:rFonts w:ascii="仿宋_GB2312" w:eastAsia="仿宋_GB2312" w:hAnsi="宋体" w:cs="宋体" w:hint="eastAsia"/>
                <w:color w:val="000000"/>
                <w:kern w:val="0"/>
                <w:sz w:val="24"/>
                <w:szCs w:val="24"/>
                <w:lang w:bidi="ar"/>
              </w:rPr>
              <w:t>计算机科学与技术类方向：人工智能、</w:t>
            </w:r>
            <w:r w:rsidRPr="00A9673A">
              <w:rPr>
                <w:rFonts w:ascii="仿宋_GB2312" w:eastAsia="仿宋_GB2312" w:hAnsi="宋体" w:cs="宋体" w:hint="eastAsia"/>
                <w:color w:val="333333"/>
                <w:kern w:val="0"/>
                <w:sz w:val="24"/>
                <w:szCs w:val="24"/>
              </w:rPr>
              <w:t>人工智能技术应用、人工智能技术服务、数据科学与大数据技术、大数据技术、大数据技术与应用、大数据管理与应用、数字媒体（应用）技术、数字媒体艺术设计</w:t>
            </w:r>
            <w:r w:rsidR="00E467B8">
              <w:rPr>
                <w:rFonts w:ascii="仿宋_GB2312" w:eastAsia="仿宋_GB2312" w:hAnsi="宋体" w:cs="宋体" w:hint="eastAsia"/>
                <w:color w:val="333333"/>
                <w:kern w:val="0"/>
                <w:sz w:val="24"/>
                <w:szCs w:val="24"/>
              </w:rPr>
              <w:t>、</w:t>
            </w:r>
            <w:proofErr w:type="gramStart"/>
            <w:r w:rsidRPr="00A9673A">
              <w:rPr>
                <w:rFonts w:ascii="仿宋_GB2312" w:eastAsia="仿宋_GB2312" w:hAnsi="宋体" w:cs="宋体" w:hint="eastAsia"/>
                <w:color w:val="333333"/>
                <w:kern w:val="0"/>
                <w:sz w:val="24"/>
                <w:szCs w:val="24"/>
              </w:rPr>
              <w:t>动漫设计</w:t>
            </w:r>
            <w:proofErr w:type="gramEnd"/>
            <w:r w:rsidRPr="00A9673A">
              <w:rPr>
                <w:rFonts w:ascii="仿宋_GB2312" w:eastAsia="仿宋_GB2312" w:hAnsi="宋体" w:cs="宋体" w:hint="eastAsia"/>
                <w:color w:val="333333"/>
                <w:kern w:val="0"/>
                <w:sz w:val="24"/>
                <w:szCs w:val="24"/>
              </w:rPr>
              <w:t>与制作</w:t>
            </w:r>
            <w:r w:rsidR="00E467B8">
              <w:rPr>
                <w:rFonts w:ascii="仿宋_GB2312" w:eastAsia="仿宋_GB2312" w:hAnsi="宋体" w:cs="宋体" w:hint="eastAsia"/>
                <w:color w:val="333333"/>
                <w:kern w:val="0"/>
                <w:sz w:val="24"/>
                <w:szCs w:val="24"/>
              </w:rPr>
              <w:t>、</w:t>
            </w:r>
            <w:proofErr w:type="gramStart"/>
            <w:r w:rsidRPr="00A9673A">
              <w:rPr>
                <w:rFonts w:ascii="仿宋_GB2312" w:eastAsia="仿宋_GB2312" w:hAnsi="宋体" w:cs="宋体" w:hint="eastAsia"/>
                <w:color w:val="333333"/>
                <w:kern w:val="0"/>
                <w:sz w:val="24"/>
                <w:szCs w:val="24"/>
              </w:rPr>
              <w:t>动漫制作</w:t>
            </w:r>
            <w:proofErr w:type="gramEnd"/>
            <w:r w:rsidRPr="00A9673A">
              <w:rPr>
                <w:rFonts w:ascii="仿宋_GB2312" w:eastAsia="仿宋_GB2312" w:hAnsi="宋体" w:cs="宋体" w:hint="eastAsia"/>
                <w:color w:val="333333"/>
                <w:kern w:val="0"/>
                <w:sz w:val="24"/>
                <w:szCs w:val="24"/>
              </w:rPr>
              <w:t>技术</w:t>
            </w:r>
            <w:r w:rsidR="00E467B8">
              <w:rPr>
                <w:rFonts w:ascii="仿宋_GB2312" w:eastAsia="仿宋_GB2312" w:hAnsi="宋体" w:cs="宋体" w:hint="eastAsia"/>
                <w:color w:val="333333"/>
                <w:kern w:val="0"/>
                <w:sz w:val="24"/>
                <w:szCs w:val="24"/>
              </w:rPr>
              <w:t>、</w:t>
            </w:r>
            <w:r w:rsidRPr="00A9673A">
              <w:rPr>
                <w:rFonts w:ascii="仿宋_GB2312" w:eastAsia="仿宋_GB2312" w:hAnsi="宋体" w:cs="宋体" w:hint="eastAsia"/>
                <w:color w:val="333333"/>
                <w:kern w:val="0"/>
                <w:sz w:val="24"/>
                <w:szCs w:val="24"/>
              </w:rPr>
              <w:t>视觉传达（艺术）设计</w:t>
            </w:r>
          </w:p>
          <w:p w:rsidR="00C8578D" w:rsidRPr="00A9673A" w:rsidRDefault="00C8578D" w:rsidP="00F95BBD">
            <w:pPr>
              <w:jc w:val="left"/>
              <w:rPr>
                <w:rFonts w:ascii="仿宋_GB2312" w:eastAsia="仿宋_GB2312"/>
                <w:sz w:val="24"/>
                <w:szCs w:val="24"/>
              </w:rPr>
            </w:pPr>
            <w:r w:rsidRPr="00A9673A">
              <w:rPr>
                <w:rFonts w:ascii="仿宋_GB2312" w:eastAsia="仿宋_GB2312" w:hAnsi="宋体" w:cs="宋体" w:hint="eastAsia"/>
                <w:color w:val="000000"/>
                <w:kern w:val="0"/>
                <w:sz w:val="24"/>
                <w:szCs w:val="24"/>
                <w:lang w:bidi="ar"/>
              </w:rPr>
              <w:t>艺术</w:t>
            </w:r>
            <w:proofErr w:type="gramStart"/>
            <w:r w:rsidRPr="00A9673A">
              <w:rPr>
                <w:rFonts w:ascii="仿宋_GB2312" w:eastAsia="仿宋_GB2312" w:hAnsi="宋体" w:cs="宋体" w:hint="eastAsia"/>
                <w:color w:val="000000"/>
                <w:kern w:val="0"/>
                <w:sz w:val="24"/>
                <w:szCs w:val="24"/>
                <w:lang w:bidi="ar"/>
              </w:rPr>
              <w:t>设计学类方向</w:t>
            </w:r>
            <w:proofErr w:type="gramEnd"/>
            <w:r w:rsidRPr="00A9673A">
              <w:rPr>
                <w:rFonts w:ascii="仿宋_GB2312" w:eastAsia="仿宋_GB2312" w:hAnsi="宋体" w:cs="宋体" w:hint="eastAsia"/>
                <w:color w:val="000000"/>
                <w:kern w:val="0"/>
                <w:sz w:val="24"/>
                <w:szCs w:val="24"/>
                <w:lang w:bidi="ar"/>
              </w:rPr>
              <w:t>：视觉传达（艺术）设计、</w:t>
            </w:r>
            <w:r w:rsidRPr="00A9673A">
              <w:rPr>
                <w:rFonts w:ascii="仿宋_GB2312" w:eastAsia="仿宋_GB2312" w:hAnsi="宋体" w:cs="宋体" w:hint="eastAsia"/>
                <w:color w:val="333333"/>
                <w:kern w:val="0"/>
                <w:sz w:val="24"/>
                <w:szCs w:val="24"/>
              </w:rPr>
              <w:t>视觉传播设计与制作、主持与播音（艺术）</w:t>
            </w:r>
            <w:r w:rsidRPr="00A9673A">
              <w:rPr>
                <w:rFonts w:ascii="仿宋_GB2312" w:eastAsia="仿宋_GB2312" w:hAnsi="宋体" w:cs="宋体" w:hint="eastAsia"/>
                <w:color w:val="000000"/>
                <w:kern w:val="0"/>
                <w:sz w:val="24"/>
                <w:szCs w:val="24"/>
                <w:lang w:bidi="ar"/>
              </w:rPr>
              <w:t>、</w:t>
            </w:r>
            <w:proofErr w:type="gramStart"/>
            <w:r w:rsidRPr="00A9673A">
              <w:rPr>
                <w:rFonts w:ascii="仿宋_GB2312" w:eastAsia="仿宋_GB2312" w:hAnsi="宋体" w:cs="宋体" w:hint="eastAsia"/>
                <w:color w:val="333333"/>
                <w:kern w:val="0"/>
                <w:sz w:val="24"/>
                <w:szCs w:val="24"/>
              </w:rPr>
              <w:t>动漫设计</w:t>
            </w:r>
            <w:proofErr w:type="gramEnd"/>
            <w:r w:rsidRPr="00A9673A">
              <w:rPr>
                <w:rFonts w:ascii="仿宋_GB2312" w:eastAsia="仿宋_GB2312" w:hAnsi="宋体" w:cs="宋体" w:hint="eastAsia"/>
                <w:color w:val="333333"/>
                <w:kern w:val="0"/>
                <w:sz w:val="24"/>
                <w:szCs w:val="24"/>
              </w:rPr>
              <w:t>与制作</w:t>
            </w:r>
            <w:r w:rsidR="00E467B8">
              <w:rPr>
                <w:rFonts w:ascii="仿宋_GB2312" w:eastAsia="仿宋_GB2312" w:hAnsi="宋体" w:cs="宋体" w:hint="eastAsia"/>
                <w:color w:val="333333"/>
                <w:kern w:val="0"/>
                <w:sz w:val="24"/>
                <w:szCs w:val="24"/>
              </w:rPr>
              <w:t>、</w:t>
            </w:r>
            <w:proofErr w:type="gramStart"/>
            <w:r w:rsidRPr="00A9673A">
              <w:rPr>
                <w:rFonts w:ascii="仿宋_GB2312" w:eastAsia="仿宋_GB2312" w:hAnsi="宋体" w:cs="宋体" w:hint="eastAsia"/>
                <w:color w:val="333333"/>
                <w:kern w:val="0"/>
                <w:sz w:val="24"/>
                <w:szCs w:val="24"/>
              </w:rPr>
              <w:t>动漫设计</w:t>
            </w:r>
            <w:proofErr w:type="gramEnd"/>
            <w:r w:rsidR="00E467B8">
              <w:rPr>
                <w:rFonts w:ascii="仿宋_GB2312" w:eastAsia="仿宋_GB2312" w:hAnsi="宋体" w:cs="宋体" w:hint="eastAsia"/>
                <w:color w:val="333333"/>
                <w:kern w:val="0"/>
                <w:sz w:val="24"/>
                <w:szCs w:val="24"/>
              </w:rPr>
              <w:t>、</w:t>
            </w:r>
            <w:proofErr w:type="gramStart"/>
            <w:r w:rsidRPr="00A9673A">
              <w:rPr>
                <w:rFonts w:ascii="仿宋_GB2312" w:eastAsia="仿宋_GB2312" w:hAnsi="宋体" w:cs="宋体" w:hint="eastAsia"/>
                <w:color w:val="333333"/>
                <w:kern w:val="0"/>
                <w:sz w:val="24"/>
                <w:szCs w:val="24"/>
              </w:rPr>
              <w:lastRenderedPageBreak/>
              <w:t>动漫制作</w:t>
            </w:r>
            <w:proofErr w:type="gramEnd"/>
            <w:r w:rsidRPr="00A9673A">
              <w:rPr>
                <w:rFonts w:ascii="仿宋_GB2312" w:eastAsia="仿宋_GB2312" w:hAnsi="宋体" w:cs="宋体" w:hint="eastAsia"/>
                <w:color w:val="333333"/>
                <w:kern w:val="0"/>
                <w:sz w:val="24"/>
                <w:szCs w:val="24"/>
              </w:rPr>
              <w:t>技术</w:t>
            </w:r>
          </w:p>
        </w:tc>
        <w:tc>
          <w:tcPr>
            <w:tcW w:w="2410" w:type="dxa"/>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lastRenderedPageBreak/>
              <w:t>研究生学历，硕士及以上学位</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
        </w:tc>
      </w:tr>
      <w:tr w:rsidR="00C8578D" w:rsidRPr="00A9673A" w:rsidTr="00F232E5">
        <w:trPr>
          <w:trHeight w:val="540"/>
        </w:trPr>
        <w:tc>
          <w:tcPr>
            <w:tcW w:w="57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lastRenderedPageBreak/>
              <w:t>10</w:t>
            </w:r>
          </w:p>
        </w:tc>
        <w:tc>
          <w:tcPr>
            <w:tcW w:w="850"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新闻传播学院</w:t>
            </w:r>
          </w:p>
        </w:tc>
        <w:tc>
          <w:tcPr>
            <w:tcW w:w="708"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总量外</w:t>
            </w:r>
          </w:p>
        </w:tc>
        <w:tc>
          <w:tcPr>
            <w:tcW w:w="1116"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专技（教学）</w:t>
            </w:r>
          </w:p>
        </w:tc>
        <w:tc>
          <w:tcPr>
            <w:tcW w:w="0" w:type="auto"/>
            <w:shd w:val="clear" w:color="auto" w:fill="auto"/>
            <w:vAlign w:val="center"/>
          </w:tcPr>
          <w:p w:rsidR="00C8578D" w:rsidRPr="00A9673A" w:rsidRDefault="00C8578D" w:rsidP="00F95BBD">
            <w:pPr>
              <w:widowControl/>
              <w:jc w:val="center"/>
              <w:textAlignment w:val="top"/>
              <w:rPr>
                <w:rFonts w:ascii="仿宋_GB2312" w:eastAsia="仿宋_GB2312" w:hAnsi="宋体" w:cs="宋体"/>
                <w:b/>
                <w:bCs/>
                <w:color w:val="000000"/>
                <w:kern w:val="0"/>
                <w:sz w:val="24"/>
                <w:szCs w:val="24"/>
                <w:lang w:bidi="ar"/>
              </w:rPr>
            </w:pPr>
            <w:r w:rsidRPr="00A9673A">
              <w:rPr>
                <w:rFonts w:ascii="仿宋_GB2312" w:eastAsia="仿宋_GB2312" w:hAnsi="宋体" w:cs="宋体" w:hint="eastAsia"/>
                <w:color w:val="000000"/>
                <w:kern w:val="0"/>
                <w:sz w:val="24"/>
                <w:szCs w:val="24"/>
                <w:lang w:bidi="ar"/>
              </w:rPr>
              <w:t>新闻传播学类</w:t>
            </w:r>
          </w:p>
        </w:tc>
        <w:tc>
          <w:tcPr>
            <w:tcW w:w="2344" w:type="dxa"/>
            <w:shd w:val="clear" w:color="auto" w:fill="auto"/>
            <w:vAlign w:val="center"/>
          </w:tcPr>
          <w:p w:rsidR="00C8578D" w:rsidRPr="00A9673A" w:rsidRDefault="00C8578D" w:rsidP="00F95BBD">
            <w:pPr>
              <w:widowControl/>
              <w:jc w:val="center"/>
              <w:textAlignment w:val="top"/>
              <w:rPr>
                <w:rFonts w:ascii="仿宋_GB2312" w:eastAsia="仿宋_GB2312" w:hAnsi="宋体" w:cs="宋体"/>
                <w:color w:val="000000"/>
                <w:kern w:val="0"/>
                <w:sz w:val="24"/>
                <w:szCs w:val="24"/>
                <w:lang w:bidi="ar"/>
              </w:rPr>
            </w:pPr>
            <w:r w:rsidRPr="00A9673A">
              <w:rPr>
                <w:rFonts w:ascii="仿宋_GB2312" w:eastAsia="仿宋_GB2312" w:hAnsi="宋体" w:cs="宋体" w:hint="eastAsia"/>
                <w:color w:val="333333"/>
                <w:kern w:val="0"/>
                <w:sz w:val="24"/>
                <w:szCs w:val="24"/>
              </w:rPr>
              <w:t>摄影、</w:t>
            </w:r>
            <w:r w:rsidRPr="00A9673A">
              <w:rPr>
                <w:rFonts w:ascii="仿宋_GB2312" w:eastAsia="仿宋_GB2312" w:hAnsi="宋体" w:cs="宋体" w:hint="eastAsia"/>
                <w:color w:val="000000"/>
                <w:kern w:val="0"/>
                <w:sz w:val="24"/>
                <w:szCs w:val="24"/>
                <w:lang w:bidi="ar"/>
              </w:rPr>
              <w:t>摄影摄像技术、</w:t>
            </w:r>
            <w:r w:rsidRPr="00A9673A">
              <w:rPr>
                <w:rFonts w:ascii="仿宋_GB2312" w:eastAsia="仿宋_GB2312" w:hAnsi="宋体" w:cs="宋体" w:hint="eastAsia"/>
                <w:color w:val="333333"/>
                <w:kern w:val="0"/>
                <w:sz w:val="24"/>
                <w:szCs w:val="24"/>
              </w:rPr>
              <w:t>电视摄像、影视摄影与制作、主持与播音（艺术）</w:t>
            </w:r>
            <w:r w:rsidRPr="00A9673A">
              <w:rPr>
                <w:rFonts w:ascii="仿宋_GB2312" w:eastAsia="仿宋_GB2312" w:hAnsi="宋体" w:cs="宋体" w:hint="eastAsia"/>
                <w:color w:val="000000"/>
                <w:kern w:val="0"/>
                <w:sz w:val="24"/>
                <w:szCs w:val="24"/>
                <w:lang w:bidi="ar"/>
              </w:rPr>
              <w:t>、播音与主持</w:t>
            </w:r>
          </w:p>
        </w:tc>
        <w:tc>
          <w:tcPr>
            <w:tcW w:w="2410" w:type="dxa"/>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研究生学历，硕士及以上学位</w:t>
            </w:r>
          </w:p>
        </w:tc>
        <w:tc>
          <w:tcPr>
            <w:tcW w:w="709" w:type="dxa"/>
            <w:tcBorders>
              <w:top w:val="single" w:sz="4" w:space="0" w:color="auto"/>
              <w:bottom w:val="single" w:sz="4" w:space="0" w:color="auto"/>
            </w:tcBorders>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r w:rsidRPr="00A9673A">
              <w:rPr>
                <w:rFonts w:ascii="仿宋_GB2312" w:eastAsia="仿宋_GB2312" w:hAnsi="仿宋" w:cs="宋体" w:hint="eastAsia"/>
                <w:color w:val="000000"/>
                <w:kern w:val="0"/>
                <w:sz w:val="24"/>
                <w:szCs w:val="24"/>
              </w:rPr>
              <w:t>1</w:t>
            </w:r>
          </w:p>
        </w:tc>
        <w:tc>
          <w:tcPr>
            <w:tcW w:w="3543" w:type="dxa"/>
            <w:shd w:val="clear" w:color="auto" w:fill="auto"/>
            <w:vAlign w:val="center"/>
          </w:tcPr>
          <w:p w:rsidR="00C8578D" w:rsidRPr="00A9673A" w:rsidRDefault="00C8578D" w:rsidP="00F95BBD">
            <w:pPr>
              <w:widowControl/>
              <w:jc w:val="center"/>
              <w:rPr>
                <w:rFonts w:ascii="仿宋_GB2312" w:eastAsia="仿宋_GB2312" w:hAnsi="仿宋" w:cs="宋体"/>
                <w:color w:val="000000"/>
                <w:kern w:val="0"/>
                <w:sz w:val="24"/>
                <w:szCs w:val="24"/>
              </w:rPr>
            </w:pPr>
          </w:p>
        </w:tc>
      </w:tr>
    </w:tbl>
    <w:p w:rsidR="00A9673A" w:rsidRPr="008B05E5" w:rsidRDefault="00A9673A" w:rsidP="00A9673A">
      <w:pPr>
        <w:widowControl/>
        <w:shd w:val="clear" w:color="auto" w:fill="FFFFFF"/>
        <w:spacing w:line="560" w:lineRule="exact"/>
        <w:ind w:firstLineChars="196" w:firstLine="627"/>
        <w:jc w:val="left"/>
        <w:rPr>
          <w:rFonts w:ascii="仿宋_GB2312" w:eastAsia="仿宋_GB2312" w:hAnsi="仿宋" w:cs="Arial"/>
          <w:bCs/>
          <w:color w:val="000000" w:themeColor="text1"/>
          <w:kern w:val="0"/>
          <w:sz w:val="32"/>
          <w:szCs w:val="32"/>
        </w:rPr>
      </w:pPr>
      <w:r w:rsidRPr="008B05E5">
        <w:rPr>
          <w:rFonts w:ascii="仿宋_GB2312" w:eastAsia="仿宋_GB2312" w:hAnsi="仿宋" w:cs="Arial" w:hint="eastAsia"/>
          <w:bCs/>
          <w:color w:val="000000" w:themeColor="text1"/>
          <w:kern w:val="0"/>
          <w:sz w:val="32"/>
          <w:szCs w:val="32"/>
        </w:rPr>
        <w:t>备注：专业参照《福建省机关事业单位招考专业指导目录（202</w:t>
      </w:r>
      <w:r>
        <w:rPr>
          <w:rFonts w:ascii="仿宋_GB2312" w:eastAsia="仿宋_GB2312" w:hAnsi="仿宋" w:cs="Arial" w:hint="eastAsia"/>
          <w:bCs/>
          <w:color w:val="000000" w:themeColor="text1"/>
          <w:kern w:val="0"/>
          <w:sz w:val="32"/>
          <w:szCs w:val="32"/>
        </w:rPr>
        <w:t>4</w:t>
      </w:r>
      <w:r w:rsidRPr="008B05E5">
        <w:rPr>
          <w:rFonts w:ascii="仿宋_GB2312" w:eastAsia="仿宋_GB2312" w:hAnsi="仿宋" w:cs="Arial" w:hint="eastAsia"/>
          <w:bCs/>
          <w:color w:val="000000" w:themeColor="text1"/>
          <w:kern w:val="0"/>
          <w:sz w:val="32"/>
          <w:szCs w:val="32"/>
        </w:rPr>
        <w:t>年）》</w:t>
      </w:r>
    </w:p>
    <w:p w:rsidR="00043723" w:rsidRPr="00A9673A" w:rsidRDefault="00043723"/>
    <w:sectPr w:rsidR="00043723" w:rsidRPr="00A9673A" w:rsidSect="00C8578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8D"/>
    <w:rsid w:val="00043723"/>
    <w:rsid w:val="005663D5"/>
    <w:rsid w:val="00620A35"/>
    <w:rsid w:val="006500D6"/>
    <w:rsid w:val="00861912"/>
    <w:rsid w:val="00A9673A"/>
    <w:rsid w:val="00C8578D"/>
    <w:rsid w:val="00E467B8"/>
    <w:rsid w:val="00F23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2024-07-17T02:58:00Z</dcterms:created>
  <dcterms:modified xsi:type="dcterms:W3CDTF">2024-07-18T02:47:00Z</dcterms:modified>
</cp:coreProperties>
</file>