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5000" w:type="pct"/>
        <w:tblInd w:w="0" w:type="dxa"/>
        <w:tblBorders>
          <w:top w:val="single" w:color="CC0000" w:sz="1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94"/>
        <w:gridCol w:w="694"/>
        <w:gridCol w:w="1218"/>
        <w:gridCol w:w="603"/>
        <w:gridCol w:w="1411"/>
        <w:gridCol w:w="2052"/>
        <w:gridCol w:w="728"/>
        <w:gridCol w:w="580"/>
        <w:gridCol w:w="626"/>
      </w:tblGrid>
      <w:tr w14:paraId="537CF6A7"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0" w:type="auto"/>
            <w:gridSpan w:val="9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 w:color="auto" w:fill="F4FB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3497409F"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Style w:val="7"/>
                <w:rFonts w:ascii="helvetica" w:hAnsi="helvetica" w:eastAsia="helvetica" w:cs="helvetica"/>
                <w:sz w:val="21"/>
                <w:szCs w:val="21"/>
              </w:rPr>
              <w:t>宜宾林竹产业研究院2024年招募政府高级雇员计划一览表</w:t>
            </w:r>
          </w:p>
        </w:tc>
      </w:tr>
      <w:tr w14:paraId="7B684C5B"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restart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5420DA4C"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Style w:val="7"/>
                <w:rFonts w:hint="default" w:ascii="helvetica" w:hAnsi="helvetica" w:eastAsia="helvetica" w:cs="helvetica"/>
                <w:sz w:val="21"/>
                <w:szCs w:val="21"/>
              </w:rPr>
              <w:t>招募单位</w:t>
            </w:r>
          </w:p>
        </w:tc>
        <w:tc>
          <w:tcPr>
            <w:tcW w:w="0" w:type="auto"/>
            <w:vMerge w:val="restart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23DEDD3D"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Style w:val="7"/>
                <w:rFonts w:hint="default" w:ascii="helvetica" w:hAnsi="helvetica" w:eastAsia="helvetica" w:cs="helvetica"/>
                <w:sz w:val="21"/>
                <w:szCs w:val="21"/>
              </w:rPr>
              <w:t>研究岗位名称</w:t>
            </w:r>
          </w:p>
        </w:tc>
        <w:tc>
          <w:tcPr>
            <w:tcW w:w="0" w:type="auto"/>
            <w:vMerge w:val="restart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5CD5E242"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Style w:val="7"/>
                <w:rFonts w:hint="default" w:ascii="helvetica" w:hAnsi="helvetica" w:eastAsia="helvetica" w:cs="helvetica"/>
                <w:sz w:val="21"/>
                <w:szCs w:val="21"/>
              </w:rPr>
              <w:t>岗位代码</w:t>
            </w:r>
          </w:p>
        </w:tc>
        <w:tc>
          <w:tcPr>
            <w:tcW w:w="0" w:type="auto"/>
            <w:vMerge w:val="restart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446AF982"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Style w:val="7"/>
                <w:rFonts w:hint="default" w:ascii="helvetica" w:hAnsi="helvetica" w:eastAsia="helvetica" w:cs="helvetica"/>
                <w:sz w:val="21"/>
                <w:szCs w:val="21"/>
              </w:rPr>
              <w:t>计划招募数</w:t>
            </w:r>
          </w:p>
        </w:tc>
        <w:tc>
          <w:tcPr>
            <w:tcW w:w="0" w:type="auto"/>
            <w:gridSpan w:val="4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0F7D4649"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Style w:val="7"/>
                <w:rFonts w:hint="default" w:ascii="helvetica" w:hAnsi="helvetica" w:eastAsia="helvetica" w:cs="helvetica"/>
                <w:sz w:val="21"/>
                <w:szCs w:val="21"/>
              </w:rPr>
              <w:t>条件要求</w:t>
            </w:r>
          </w:p>
        </w:tc>
        <w:tc>
          <w:tcPr>
            <w:tcW w:w="0" w:type="auto"/>
            <w:vMerge w:val="restart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673E08C3"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Style w:val="7"/>
                <w:rFonts w:hint="default" w:ascii="helvetica" w:hAnsi="helvetica" w:eastAsia="helvetica" w:cs="helvetica"/>
                <w:sz w:val="21"/>
                <w:szCs w:val="21"/>
              </w:rPr>
              <w:t>考核方式</w:t>
            </w:r>
          </w:p>
        </w:tc>
      </w:tr>
      <w:tr w14:paraId="0989CE5A"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0DA4B3C9">
            <w:pPr>
              <w:rPr>
                <w:rFonts w:hint="default" w:ascii="helvetica" w:hAnsi="helvetica" w:eastAsia="helvetica" w:cs="helvetica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0C38ACC7">
            <w:pPr>
              <w:rPr>
                <w:rFonts w:hint="default" w:ascii="helvetica" w:hAnsi="helvetica" w:eastAsia="helvetica" w:cs="helvetica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1F92DA89">
            <w:pPr>
              <w:rPr>
                <w:rFonts w:hint="default" w:ascii="helvetica" w:hAnsi="helvetica" w:eastAsia="helvetica" w:cs="helvetica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48D06E6E">
            <w:pPr>
              <w:rPr>
                <w:rFonts w:hint="default" w:ascii="helvetica" w:hAnsi="helvetica" w:eastAsia="helvetica" w:cs="helvetic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125295C9"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Style w:val="7"/>
                <w:rFonts w:hint="default" w:ascii="helvetica" w:hAnsi="helvetica" w:eastAsia="helvetica" w:cs="helvetica"/>
                <w:sz w:val="21"/>
                <w:szCs w:val="21"/>
              </w:rPr>
              <w:t>学历（学位）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522803E3"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Style w:val="7"/>
                <w:rFonts w:hint="default" w:ascii="helvetica" w:hAnsi="helvetica" w:eastAsia="helvetica" w:cs="helvetica"/>
                <w:sz w:val="21"/>
                <w:szCs w:val="21"/>
              </w:rPr>
              <w:t>专业要求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39268661"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Style w:val="7"/>
                <w:rFonts w:hint="default" w:ascii="helvetica" w:hAnsi="helvetica" w:eastAsia="helvetica" w:cs="helvetica"/>
                <w:sz w:val="21"/>
                <w:szCs w:val="21"/>
              </w:rPr>
              <w:t>年龄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26892C86"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Style w:val="7"/>
                <w:rFonts w:hint="default" w:ascii="helvetica" w:hAnsi="helvetica" w:eastAsia="helvetica" w:cs="helvetica"/>
                <w:sz w:val="21"/>
                <w:szCs w:val="21"/>
              </w:rPr>
              <w:t>其他条件</w:t>
            </w:r>
          </w:p>
        </w:tc>
        <w:tc>
          <w:tcPr>
            <w:tcW w:w="0" w:type="auto"/>
            <w:vMerge w:val="continue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466FBA11">
            <w:pPr>
              <w:rPr>
                <w:rFonts w:hint="default" w:ascii="helvetica" w:hAnsi="helvetica" w:eastAsia="helvetica" w:cs="helvetica"/>
                <w:sz w:val="21"/>
                <w:szCs w:val="21"/>
              </w:rPr>
            </w:pPr>
          </w:p>
        </w:tc>
      </w:tr>
      <w:tr w14:paraId="4C85A709"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78350EC3"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宜宾林竹产业研究院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01D8BB89"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森林碳汇及数智应用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6748F8A7"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GY2401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0117982A"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39E3E0A0"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博士研究生（取得副高级及以上相关专业技术职称可放宽至硕士研究生）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53CC8103"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生态学专业、森林生态学专业、森林经理学专业等从事本研究岗位相关专业及方向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7073793B"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45周岁及以下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302ADA4B"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1010F641"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专业技能面试</w:t>
            </w:r>
          </w:p>
        </w:tc>
      </w:tr>
      <w:tr w14:paraId="57EE828E"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0DCEE573"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宜宾林竹产业研究院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4F53393C"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林竹资源高效培育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654F2D06"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GY2402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63BC572F"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4C28E2F2"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博士研究生（取得副高级及以上相关专业技术职称可放宽至硕士研究生）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1ABC8CC3"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林木遗传育种专业、生物化学与分子生物学专业等从事本研究岗位相关专业及方向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355FF7F2"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45周岁及以下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4CC5D7D9"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0C028136"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专业技能面试</w:t>
            </w:r>
          </w:p>
        </w:tc>
      </w:tr>
      <w:tr w14:paraId="6DF26FEE"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744CAF72"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宜宾林竹产业研究院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4B86C1C5"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林竹食品开发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376E02DC"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GY2403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39C91E7B"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6718FCD1"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博士研究生（取得副高级及以上相关专业技术职称可放宽至硕士研究生）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7F57C17F"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食品科学与工程专业、食品科学专业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34128D87"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45周岁及以下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421559BF"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4D8DCBDB"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专业技能面试</w:t>
            </w:r>
          </w:p>
        </w:tc>
      </w:tr>
      <w:tr w14:paraId="10F45093"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49328A92"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宜宾林竹产业研究院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1BB5B401"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林竹纤维加工利用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461E2864"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GY2404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3726D0E3"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6CE4DECF"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博士研究生（取得副高级及以上相关专业技术职称可放宽至硕士研究生）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6B71F831"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轻工技术与工程专业、制浆造纸工程专业、林业工程专业、木材科学与技术专业、材料科学与工程专业等从事本研究岗位相关专业及方向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4BB6B813"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45周岁及以下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6FA1F2CF"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4B47955C"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专业技能面试</w:t>
            </w:r>
          </w:p>
        </w:tc>
      </w:tr>
    </w:tbl>
    <w:p w14:paraId="6A02854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YaHei UI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layui-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NlMGVkZWI0OTliYTNjODIxNjJmZjA2Mjk5YTk4MGYifQ=="/>
  </w:docVars>
  <w:rsids>
    <w:rsidRoot w:val="53B2147A"/>
    <w:rsid w:val="53B21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FollowedHyperlink"/>
    <w:basedOn w:val="6"/>
    <w:uiPriority w:val="0"/>
    <w:rPr>
      <w:color w:val="003399"/>
      <w:u w:val="none"/>
    </w:rPr>
  </w:style>
  <w:style w:type="character" w:styleId="9">
    <w:name w:val="Hyperlink"/>
    <w:basedOn w:val="6"/>
    <w:uiPriority w:val="0"/>
    <w:rPr>
      <w:color w:val="003399"/>
      <w:u w:val="none"/>
    </w:rPr>
  </w:style>
  <w:style w:type="character" w:customStyle="1" w:styleId="10">
    <w:name w:val="layui-laypage-curr"/>
    <w:basedOn w:val="6"/>
    <w:uiPriority w:val="0"/>
    <w:rPr>
      <w:bdr w:val="none" w:color="auto" w:sz="0" w:space="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2024-08-12T03:59:00Z</dcterms:created>
  <dc:creator>水无鱼</dc:creator>
  <cp:lastModifiedBy>水无鱼</cp:lastModifiedBy>
  <dcterms:modified xsi:type="dcterms:W3CDTF">2024-08-12T04:08:36Z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B018DA75ADA14D5AB805B513943B5B6B_11</vt:lpwstr>
  </property>
</Properties>
</file>