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A4583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附件1</w:t>
      </w:r>
    </w:p>
    <w:p w14:paraId="40524571">
      <w:pPr>
        <w:pStyle w:val="2"/>
        <w:rPr>
          <w:rFonts w:hint="eastAsia"/>
          <w:lang w:val="en-US" w:eastAsia="zh-CN"/>
        </w:rPr>
      </w:pPr>
    </w:p>
    <w:p w14:paraId="08A1062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rPr>
      </w:pPr>
      <w:r>
        <w:rPr>
          <w:rFonts w:hint="eastAsia" w:ascii="方正小标宋简体" w:hAnsi="方正小标宋简体" w:eastAsia="方正小标宋简体" w:cs="方正小标宋简体"/>
          <w:color w:val="auto"/>
          <w:sz w:val="44"/>
          <w:szCs w:val="44"/>
        </w:rPr>
        <w:t>市国资委所属事业单位竞争性比选事业人员职位表</w:t>
      </w:r>
    </w:p>
    <w:p w14:paraId="1C118DC9">
      <w:pPr>
        <w:pStyle w:val="2"/>
        <w:keepNext w:val="0"/>
        <w:keepLines w:val="0"/>
        <w:pageBreakBefore w:val="0"/>
        <w:widowControl w:val="0"/>
        <w:kinsoku/>
        <w:wordWrap/>
        <w:overflowPunct/>
        <w:topLinePunct w:val="0"/>
        <w:autoSpaceDE/>
        <w:autoSpaceDN/>
        <w:bidi w:val="0"/>
        <w:adjustRightInd/>
        <w:snapToGrid/>
        <w:spacing w:after="0" w:line="200" w:lineRule="exact"/>
        <w:textAlignment w:val="auto"/>
      </w:pPr>
    </w:p>
    <w:tbl>
      <w:tblPr>
        <w:tblStyle w:val="4"/>
        <w:tblpPr w:leftFromText="180" w:rightFromText="180" w:vertAnchor="text" w:horzAnchor="page" w:tblpX="549" w:tblpY="67"/>
        <w:tblOverlap w:val="never"/>
        <w:tblW w:w="160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06"/>
        <w:gridCol w:w="1129"/>
        <w:gridCol w:w="580"/>
        <w:gridCol w:w="812"/>
        <w:gridCol w:w="1950"/>
        <w:gridCol w:w="1395"/>
        <w:gridCol w:w="1095"/>
        <w:gridCol w:w="1365"/>
        <w:gridCol w:w="1065"/>
        <w:gridCol w:w="1530"/>
        <w:gridCol w:w="1215"/>
        <w:gridCol w:w="1260"/>
        <w:gridCol w:w="1414"/>
      </w:tblGrid>
      <w:tr w14:paraId="02E00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1206" w:type="dxa"/>
            <w:vMerge w:val="restart"/>
            <w:tcBorders>
              <w:top w:val="single" w:color="auto" w:sz="4" w:space="0"/>
              <w:left w:val="single" w:color="auto" w:sz="4" w:space="0"/>
              <w:right w:val="single" w:color="auto" w:sz="4" w:space="0"/>
            </w:tcBorders>
            <w:vAlign w:val="center"/>
          </w:tcPr>
          <w:p w14:paraId="2E0C1D33">
            <w:pPr>
              <w:keepNext w:val="0"/>
              <w:keepLines w:val="0"/>
              <w:pageBreakBefore w:val="0"/>
              <w:widowControl w:val="0"/>
              <w:suppressLineNumbers w:val="0"/>
              <w:tabs>
                <w:tab w:val="left" w:pos="342"/>
              </w:tabs>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i w:val="0"/>
                <w:color w:val="000000"/>
                <w:kern w:val="0"/>
                <w:sz w:val="28"/>
                <w:szCs w:val="28"/>
                <w:u w:val="none"/>
                <w:lang w:val="en-US" w:eastAsia="zh-CN"/>
              </w:rPr>
            </w:pPr>
            <w:r>
              <w:rPr>
                <w:rFonts w:hint="eastAsia" w:cs="Times New Roman"/>
                <w:b/>
                <w:i w:val="0"/>
                <w:color w:val="000000"/>
                <w:kern w:val="0"/>
                <w:sz w:val="28"/>
                <w:szCs w:val="28"/>
                <w:u w:val="none"/>
                <w:lang w:val="en-US" w:eastAsia="zh-CN"/>
              </w:rPr>
              <w:t>主管部门名称</w:t>
            </w:r>
          </w:p>
        </w:tc>
        <w:tc>
          <w:tcPr>
            <w:tcW w:w="1129" w:type="dxa"/>
            <w:vMerge w:val="restart"/>
            <w:tcBorders>
              <w:top w:val="single" w:color="auto" w:sz="4" w:space="0"/>
              <w:left w:val="single" w:color="auto" w:sz="4" w:space="0"/>
              <w:bottom w:val="single" w:color="auto" w:sz="4" w:space="0"/>
              <w:right w:val="single" w:color="auto" w:sz="4" w:space="0"/>
            </w:tcBorders>
            <w:vAlign w:val="center"/>
          </w:tcPr>
          <w:p w14:paraId="6FFACB0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i w:val="0"/>
                <w:color w:val="000000"/>
                <w:sz w:val="28"/>
                <w:szCs w:val="28"/>
                <w:u w:val="none"/>
              </w:rPr>
            </w:pPr>
            <w:r>
              <w:rPr>
                <w:rFonts w:hint="eastAsia" w:cs="Times New Roman"/>
                <w:b/>
                <w:i w:val="0"/>
                <w:color w:val="000000"/>
                <w:kern w:val="0"/>
                <w:sz w:val="28"/>
                <w:szCs w:val="28"/>
                <w:u w:val="none"/>
                <w:lang w:val="en-US" w:eastAsia="zh-CN"/>
              </w:rPr>
              <w:t>比选</w:t>
            </w:r>
            <w:r>
              <w:rPr>
                <w:rFonts w:hint="default" w:ascii="Times New Roman" w:hAnsi="Times New Roman" w:cs="Times New Roman"/>
                <w:b/>
                <w:i w:val="0"/>
                <w:color w:val="000000"/>
                <w:kern w:val="0"/>
                <w:sz w:val="28"/>
                <w:szCs w:val="28"/>
                <w:u w:val="none"/>
                <w:lang w:val="en-US" w:eastAsia="zh-CN"/>
              </w:rPr>
              <w:t>单位</w:t>
            </w:r>
            <w:r>
              <w:rPr>
                <w:rFonts w:hint="default" w:ascii="Times New Roman" w:hAnsi="Times New Roman" w:eastAsia="宋体" w:cs="Times New Roman"/>
                <w:b/>
                <w:i w:val="0"/>
                <w:color w:val="000000"/>
                <w:kern w:val="0"/>
                <w:sz w:val="28"/>
                <w:szCs w:val="28"/>
                <w:u w:val="none"/>
                <w:lang w:val="en-US" w:eastAsia="zh-CN"/>
              </w:rPr>
              <w:t>名称</w:t>
            </w:r>
          </w:p>
        </w:tc>
        <w:tc>
          <w:tcPr>
            <w:tcW w:w="580" w:type="dxa"/>
            <w:vMerge w:val="restart"/>
            <w:tcBorders>
              <w:top w:val="single" w:color="auto" w:sz="4" w:space="0"/>
              <w:left w:val="single" w:color="auto" w:sz="4" w:space="0"/>
              <w:bottom w:val="single" w:color="auto" w:sz="4" w:space="0"/>
              <w:right w:val="single" w:color="auto" w:sz="4" w:space="0"/>
            </w:tcBorders>
            <w:vAlign w:val="center"/>
          </w:tcPr>
          <w:p w14:paraId="263D07D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i w:val="0"/>
                <w:color w:val="000000"/>
                <w:sz w:val="28"/>
                <w:szCs w:val="28"/>
                <w:u w:val="none"/>
              </w:rPr>
            </w:pPr>
            <w:r>
              <w:rPr>
                <w:rFonts w:hint="eastAsia" w:cs="Times New Roman"/>
                <w:b/>
                <w:i w:val="0"/>
                <w:color w:val="000000"/>
                <w:kern w:val="0"/>
                <w:sz w:val="28"/>
                <w:szCs w:val="28"/>
                <w:u w:val="none"/>
                <w:lang w:val="en-US" w:eastAsia="zh-CN"/>
              </w:rPr>
              <w:t>比选</w:t>
            </w:r>
            <w:r>
              <w:rPr>
                <w:rFonts w:hint="default" w:ascii="Times New Roman" w:hAnsi="Times New Roman" w:eastAsia="宋体" w:cs="Times New Roman"/>
                <w:b/>
                <w:i w:val="0"/>
                <w:color w:val="000000"/>
                <w:kern w:val="0"/>
                <w:sz w:val="28"/>
                <w:szCs w:val="28"/>
                <w:u w:val="none"/>
                <w:lang w:val="en-US" w:eastAsia="zh-CN"/>
              </w:rPr>
              <w:br w:type="textWrapping"/>
            </w:r>
            <w:r>
              <w:rPr>
                <w:rFonts w:hint="default" w:ascii="Times New Roman" w:hAnsi="Times New Roman" w:eastAsia="宋体" w:cs="Times New Roman"/>
                <w:b/>
                <w:i w:val="0"/>
                <w:color w:val="000000"/>
                <w:kern w:val="0"/>
                <w:sz w:val="28"/>
                <w:szCs w:val="28"/>
                <w:u w:val="none"/>
                <w:lang w:val="en-US" w:eastAsia="zh-CN"/>
              </w:rPr>
              <w:t>人数</w:t>
            </w:r>
          </w:p>
        </w:tc>
        <w:tc>
          <w:tcPr>
            <w:tcW w:w="812" w:type="dxa"/>
            <w:vMerge w:val="restart"/>
            <w:tcBorders>
              <w:top w:val="single" w:color="auto" w:sz="4" w:space="0"/>
              <w:left w:val="single" w:color="auto" w:sz="4" w:space="0"/>
              <w:bottom w:val="single" w:color="auto" w:sz="4" w:space="0"/>
              <w:right w:val="single" w:color="auto" w:sz="4" w:space="0"/>
            </w:tcBorders>
            <w:vAlign w:val="center"/>
          </w:tcPr>
          <w:p w14:paraId="4DBE979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i w:val="0"/>
                <w:color w:val="000000"/>
                <w:sz w:val="28"/>
                <w:szCs w:val="28"/>
                <w:u w:val="none"/>
              </w:rPr>
            </w:pPr>
            <w:r>
              <w:rPr>
                <w:rFonts w:hint="eastAsia" w:cs="Times New Roman"/>
                <w:b/>
                <w:i w:val="0"/>
                <w:color w:val="000000"/>
                <w:kern w:val="0"/>
                <w:sz w:val="28"/>
                <w:szCs w:val="28"/>
                <w:u w:val="none"/>
                <w:lang w:val="en-US" w:eastAsia="zh-CN"/>
              </w:rPr>
              <w:t>比选</w:t>
            </w:r>
            <w:r>
              <w:rPr>
                <w:rFonts w:hint="default" w:ascii="Times New Roman" w:hAnsi="Times New Roman" w:eastAsia="宋体" w:cs="Times New Roman"/>
                <w:b/>
                <w:i w:val="0"/>
                <w:color w:val="000000"/>
                <w:kern w:val="0"/>
                <w:sz w:val="28"/>
                <w:szCs w:val="28"/>
                <w:u w:val="none"/>
                <w:lang w:val="en-US" w:eastAsia="zh-CN"/>
              </w:rPr>
              <w:t>职位</w:t>
            </w:r>
          </w:p>
        </w:tc>
        <w:tc>
          <w:tcPr>
            <w:tcW w:w="1950" w:type="dxa"/>
            <w:vMerge w:val="restart"/>
            <w:tcBorders>
              <w:top w:val="single" w:color="auto" w:sz="4" w:space="0"/>
              <w:left w:val="single" w:color="auto" w:sz="4" w:space="0"/>
              <w:bottom w:val="single" w:color="auto" w:sz="4" w:space="0"/>
              <w:right w:val="single" w:color="auto" w:sz="4" w:space="0"/>
            </w:tcBorders>
            <w:vAlign w:val="center"/>
          </w:tcPr>
          <w:p w14:paraId="2568A62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i w:val="0"/>
                <w:color w:val="000000"/>
                <w:sz w:val="28"/>
                <w:szCs w:val="28"/>
                <w:u w:val="none"/>
              </w:rPr>
            </w:pPr>
            <w:r>
              <w:rPr>
                <w:rFonts w:hint="eastAsia" w:cs="Times New Roman"/>
                <w:b/>
                <w:i w:val="0"/>
                <w:color w:val="000000"/>
                <w:kern w:val="0"/>
                <w:sz w:val="28"/>
                <w:szCs w:val="28"/>
                <w:u w:val="none"/>
                <w:lang w:val="en-US" w:eastAsia="zh-CN"/>
              </w:rPr>
              <w:t>比选</w:t>
            </w:r>
            <w:r>
              <w:rPr>
                <w:rFonts w:hint="default" w:ascii="Times New Roman" w:hAnsi="Times New Roman" w:eastAsia="宋体" w:cs="Times New Roman"/>
                <w:b/>
                <w:i w:val="0"/>
                <w:color w:val="000000"/>
                <w:kern w:val="0"/>
                <w:sz w:val="28"/>
                <w:szCs w:val="28"/>
                <w:u w:val="none"/>
                <w:lang w:val="en-US" w:eastAsia="zh-CN"/>
              </w:rPr>
              <w:t>职位简介</w:t>
            </w:r>
          </w:p>
        </w:tc>
        <w:tc>
          <w:tcPr>
            <w:tcW w:w="6450" w:type="dxa"/>
            <w:gridSpan w:val="5"/>
            <w:tcBorders>
              <w:top w:val="single" w:color="auto" w:sz="4" w:space="0"/>
              <w:left w:val="single" w:color="auto" w:sz="4" w:space="0"/>
              <w:bottom w:val="single" w:color="auto" w:sz="4" w:space="0"/>
              <w:right w:val="single" w:color="auto" w:sz="4" w:space="0"/>
            </w:tcBorders>
            <w:vAlign w:val="center"/>
          </w:tcPr>
          <w:p w14:paraId="043DACE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cs="Times New Roman"/>
                <w:b/>
                <w:i w:val="0"/>
                <w:color w:val="000000"/>
                <w:kern w:val="0"/>
                <w:sz w:val="28"/>
                <w:szCs w:val="28"/>
                <w:u w:val="none"/>
                <w:lang w:val="en-US" w:eastAsia="zh-CN"/>
              </w:rPr>
            </w:pPr>
            <w:r>
              <w:rPr>
                <w:rFonts w:hint="eastAsia" w:cs="Times New Roman"/>
                <w:b/>
                <w:i w:val="0"/>
                <w:color w:val="000000"/>
                <w:kern w:val="0"/>
                <w:sz w:val="28"/>
                <w:szCs w:val="28"/>
                <w:u w:val="none"/>
                <w:lang w:val="en-US" w:eastAsia="zh-CN"/>
              </w:rPr>
              <w:t>比选</w:t>
            </w:r>
            <w:r>
              <w:rPr>
                <w:rFonts w:hint="default" w:ascii="Times New Roman" w:hAnsi="Times New Roman" w:eastAsia="宋体" w:cs="Times New Roman"/>
                <w:b/>
                <w:i w:val="0"/>
                <w:color w:val="000000"/>
                <w:kern w:val="0"/>
                <w:sz w:val="28"/>
                <w:szCs w:val="28"/>
                <w:u w:val="none"/>
                <w:lang w:val="en-US" w:eastAsia="zh-CN"/>
              </w:rPr>
              <w:t>职位资格条件</w:t>
            </w:r>
          </w:p>
        </w:tc>
        <w:tc>
          <w:tcPr>
            <w:tcW w:w="1215" w:type="dxa"/>
            <w:vMerge w:val="restart"/>
            <w:tcBorders>
              <w:top w:val="single" w:color="auto" w:sz="4" w:space="0"/>
              <w:left w:val="single" w:color="auto" w:sz="4" w:space="0"/>
              <w:right w:val="single" w:color="auto" w:sz="4" w:space="0"/>
            </w:tcBorders>
            <w:vAlign w:val="center"/>
          </w:tcPr>
          <w:p w14:paraId="01E99A8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i w:val="0"/>
                <w:color w:val="000000"/>
                <w:kern w:val="0"/>
                <w:sz w:val="28"/>
                <w:szCs w:val="28"/>
                <w:u w:val="none"/>
                <w:lang w:val="en-US" w:eastAsia="zh-CN"/>
              </w:rPr>
            </w:pPr>
            <w:r>
              <w:rPr>
                <w:rFonts w:hint="eastAsia" w:cs="Times New Roman"/>
                <w:b/>
                <w:i w:val="0"/>
                <w:color w:val="000000"/>
                <w:kern w:val="0"/>
                <w:sz w:val="28"/>
                <w:szCs w:val="28"/>
                <w:u w:val="none"/>
                <w:lang w:val="en-US" w:eastAsia="zh-CN"/>
              </w:rPr>
              <w:t>年龄</w:t>
            </w:r>
          </w:p>
        </w:tc>
        <w:tc>
          <w:tcPr>
            <w:tcW w:w="1260" w:type="dxa"/>
            <w:vMerge w:val="restart"/>
            <w:tcBorders>
              <w:top w:val="single" w:color="auto" w:sz="4" w:space="0"/>
              <w:left w:val="single" w:color="auto" w:sz="4" w:space="0"/>
              <w:bottom w:val="single" w:color="auto" w:sz="4" w:space="0"/>
              <w:right w:val="single" w:color="auto" w:sz="4" w:space="0"/>
            </w:tcBorders>
            <w:vAlign w:val="center"/>
          </w:tcPr>
          <w:p w14:paraId="1E7CD75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i w:val="0"/>
                <w:color w:val="000000"/>
                <w:sz w:val="28"/>
                <w:szCs w:val="28"/>
                <w:u w:val="none"/>
              </w:rPr>
            </w:pPr>
            <w:r>
              <w:rPr>
                <w:rFonts w:hint="default" w:ascii="Times New Roman" w:hAnsi="Times New Roman" w:eastAsia="宋体" w:cs="Times New Roman"/>
                <w:b/>
                <w:i w:val="0"/>
                <w:color w:val="000000"/>
                <w:kern w:val="0"/>
                <w:sz w:val="28"/>
                <w:szCs w:val="28"/>
                <w:u w:val="none"/>
                <w:lang w:val="en-US" w:eastAsia="zh-CN"/>
              </w:rPr>
              <w:t>备注</w:t>
            </w:r>
          </w:p>
        </w:tc>
        <w:tc>
          <w:tcPr>
            <w:tcW w:w="1414" w:type="dxa"/>
            <w:vMerge w:val="restart"/>
            <w:tcBorders>
              <w:top w:val="single" w:color="auto" w:sz="4" w:space="0"/>
              <w:left w:val="single" w:color="auto" w:sz="4" w:space="0"/>
              <w:bottom w:val="single" w:color="auto" w:sz="4" w:space="0"/>
              <w:right w:val="single" w:color="auto" w:sz="4" w:space="0"/>
            </w:tcBorders>
            <w:vAlign w:val="center"/>
          </w:tcPr>
          <w:p w14:paraId="2B5EB76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i w:val="0"/>
                <w:color w:val="000000"/>
                <w:sz w:val="28"/>
                <w:szCs w:val="28"/>
                <w:u w:val="none"/>
              </w:rPr>
            </w:pPr>
            <w:r>
              <w:rPr>
                <w:rFonts w:hint="default" w:ascii="Times New Roman" w:hAnsi="Times New Roman" w:eastAsia="宋体" w:cs="Times New Roman"/>
                <w:b/>
                <w:i w:val="0"/>
                <w:color w:val="000000"/>
                <w:kern w:val="0"/>
                <w:sz w:val="28"/>
                <w:szCs w:val="28"/>
                <w:u w:val="none"/>
                <w:lang w:val="en-US" w:eastAsia="zh-CN"/>
              </w:rPr>
              <w:t>联系电话</w:t>
            </w:r>
          </w:p>
        </w:tc>
      </w:tr>
      <w:tr w14:paraId="6FDCD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9" w:hRule="atLeast"/>
        </w:trPr>
        <w:tc>
          <w:tcPr>
            <w:tcW w:w="1206" w:type="dxa"/>
            <w:vMerge w:val="continue"/>
            <w:tcBorders>
              <w:left w:val="single" w:color="auto" w:sz="4" w:space="0"/>
              <w:bottom w:val="single" w:color="auto" w:sz="4" w:space="0"/>
              <w:right w:val="single" w:color="auto" w:sz="4" w:space="0"/>
            </w:tcBorders>
            <w:vAlign w:val="center"/>
          </w:tcPr>
          <w:p w14:paraId="20777127">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b/>
                <w:i w:val="0"/>
                <w:color w:val="000000"/>
                <w:sz w:val="28"/>
                <w:szCs w:val="28"/>
                <w:u w:val="none"/>
              </w:rPr>
            </w:pPr>
          </w:p>
        </w:tc>
        <w:tc>
          <w:tcPr>
            <w:tcW w:w="1129" w:type="dxa"/>
            <w:vMerge w:val="continue"/>
            <w:tcBorders>
              <w:top w:val="single" w:color="auto" w:sz="4" w:space="0"/>
              <w:left w:val="single" w:color="auto" w:sz="4" w:space="0"/>
              <w:bottom w:val="single" w:color="auto" w:sz="4" w:space="0"/>
              <w:right w:val="single" w:color="auto" w:sz="4" w:space="0"/>
            </w:tcBorders>
            <w:vAlign w:val="center"/>
          </w:tcPr>
          <w:p w14:paraId="53633777">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b/>
                <w:i w:val="0"/>
                <w:color w:val="000000"/>
                <w:sz w:val="28"/>
                <w:szCs w:val="28"/>
                <w:u w:val="none"/>
              </w:rPr>
            </w:pPr>
          </w:p>
        </w:tc>
        <w:tc>
          <w:tcPr>
            <w:tcW w:w="580" w:type="dxa"/>
            <w:vMerge w:val="continue"/>
            <w:tcBorders>
              <w:top w:val="single" w:color="auto" w:sz="4" w:space="0"/>
              <w:left w:val="single" w:color="auto" w:sz="4" w:space="0"/>
              <w:bottom w:val="single" w:color="auto" w:sz="4" w:space="0"/>
              <w:right w:val="single" w:color="auto" w:sz="4" w:space="0"/>
            </w:tcBorders>
            <w:vAlign w:val="center"/>
          </w:tcPr>
          <w:p w14:paraId="625F850C">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b/>
                <w:i w:val="0"/>
                <w:color w:val="000000"/>
                <w:sz w:val="28"/>
                <w:szCs w:val="28"/>
                <w:u w:val="none"/>
              </w:rPr>
            </w:pPr>
          </w:p>
        </w:tc>
        <w:tc>
          <w:tcPr>
            <w:tcW w:w="812" w:type="dxa"/>
            <w:vMerge w:val="continue"/>
            <w:tcBorders>
              <w:top w:val="single" w:color="auto" w:sz="4" w:space="0"/>
              <w:left w:val="single" w:color="auto" w:sz="4" w:space="0"/>
              <w:bottom w:val="single" w:color="auto" w:sz="4" w:space="0"/>
              <w:right w:val="single" w:color="auto" w:sz="4" w:space="0"/>
            </w:tcBorders>
            <w:vAlign w:val="center"/>
          </w:tcPr>
          <w:p w14:paraId="418F5B04">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b/>
                <w:i w:val="0"/>
                <w:color w:val="000000"/>
                <w:sz w:val="28"/>
                <w:szCs w:val="28"/>
                <w:u w:val="none"/>
              </w:rPr>
            </w:pPr>
          </w:p>
        </w:tc>
        <w:tc>
          <w:tcPr>
            <w:tcW w:w="1950" w:type="dxa"/>
            <w:vMerge w:val="continue"/>
            <w:tcBorders>
              <w:top w:val="single" w:color="auto" w:sz="4" w:space="0"/>
              <w:left w:val="single" w:color="auto" w:sz="4" w:space="0"/>
              <w:bottom w:val="single" w:color="auto" w:sz="4" w:space="0"/>
              <w:right w:val="single" w:color="auto" w:sz="4" w:space="0"/>
            </w:tcBorders>
            <w:vAlign w:val="center"/>
          </w:tcPr>
          <w:p w14:paraId="30371DBC">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b/>
                <w:i w:val="0"/>
                <w:color w:val="000000"/>
                <w:sz w:val="28"/>
                <w:szCs w:val="28"/>
                <w:u w:val="none"/>
              </w:rPr>
            </w:pPr>
          </w:p>
        </w:tc>
        <w:tc>
          <w:tcPr>
            <w:tcW w:w="1395" w:type="dxa"/>
            <w:tcBorders>
              <w:top w:val="single" w:color="auto" w:sz="4" w:space="0"/>
              <w:left w:val="single" w:color="auto" w:sz="4" w:space="0"/>
              <w:bottom w:val="single" w:color="auto" w:sz="4" w:space="0"/>
              <w:right w:val="single" w:color="auto" w:sz="4" w:space="0"/>
            </w:tcBorders>
            <w:vAlign w:val="center"/>
          </w:tcPr>
          <w:p w14:paraId="1BDC324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i w:val="0"/>
                <w:color w:val="000000"/>
                <w:sz w:val="28"/>
                <w:szCs w:val="28"/>
                <w:u w:val="none"/>
              </w:rPr>
            </w:pPr>
            <w:r>
              <w:rPr>
                <w:rFonts w:hint="default" w:ascii="Times New Roman" w:hAnsi="Times New Roman" w:eastAsia="宋体" w:cs="Times New Roman"/>
                <w:b/>
                <w:i w:val="0"/>
                <w:color w:val="000000"/>
                <w:kern w:val="0"/>
                <w:sz w:val="28"/>
                <w:szCs w:val="28"/>
                <w:u w:val="none"/>
                <w:lang w:val="en-US" w:eastAsia="zh-CN"/>
              </w:rPr>
              <w:t>学历</w:t>
            </w:r>
          </w:p>
        </w:tc>
        <w:tc>
          <w:tcPr>
            <w:tcW w:w="1095" w:type="dxa"/>
            <w:tcBorders>
              <w:top w:val="single" w:color="auto" w:sz="4" w:space="0"/>
              <w:left w:val="single" w:color="auto" w:sz="4" w:space="0"/>
              <w:bottom w:val="single" w:color="auto" w:sz="4" w:space="0"/>
              <w:right w:val="single" w:color="auto" w:sz="4" w:space="0"/>
            </w:tcBorders>
            <w:vAlign w:val="center"/>
          </w:tcPr>
          <w:p w14:paraId="480C1A3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i w:val="0"/>
                <w:color w:val="000000"/>
                <w:sz w:val="28"/>
                <w:szCs w:val="28"/>
                <w:u w:val="none"/>
              </w:rPr>
            </w:pPr>
            <w:r>
              <w:rPr>
                <w:rFonts w:hint="default" w:ascii="Times New Roman" w:hAnsi="Times New Roman" w:eastAsia="宋体" w:cs="Times New Roman"/>
                <w:b/>
                <w:i w:val="0"/>
                <w:color w:val="000000"/>
                <w:kern w:val="0"/>
                <w:sz w:val="28"/>
                <w:szCs w:val="28"/>
                <w:u w:val="none"/>
                <w:lang w:val="en-US" w:eastAsia="zh-CN"/>
              </w:rPr>
              <w:t>学位</w:t>
            </w:r>
          </w:p>
        </w:tc>
        <w:tc>
          <w:tcPr>
            <w:tcW w:w="1365" w:type="dxa"/>
            <w:tcBorders>
              <w:top w:val="single" w:color="auto" w:sz="4" w:space="0"/>
              <w:left w:val="single" w:color="auto" w:sz="4" w:space="0"/>
              <w:bottom w:val="single" w:color="auto" w:sz="4" w:space="0"/>
              <w:right w:val="single" w:color="auto" w:sz="4" w:space="0"/>
            </w:tcBorders>
            <w:vAlign w:val="center"/>
          </w:tcPr>
          <w:p w14:paraId="156B528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i w:val="0"/>
                <w:color w:val="000000"/>
                <w:sz w:val="28"/>
                <w:szCs w:val="28"/>
                <w:u w:val="none"/>
              </w:rPr>
            </w:pPr>
            <w:r>
              <w:rPr>
                <w:rFonts w:hint="default" w:ascii="Times New Roman" w:hAnsi="Times New Roman" w:eastAsia="宋体" w:cs="Times New Roman"/>
                <w:b/>
                <w:i w:val="0"/>
                <w:color w:val="000000"/>
                <w:kern w:val="0"/>
                <w:sz w:val="28"/>
                <w:szCs w:val="28"/>
                <w:u w:val="none"/>
                <w:lang w:val="en-US" w:eastAsia="zh-CN"/>
              </w:rPr>
              <w:t>专业</w:t>
            </w:r>
          </w:p>
        </w:tc>
        <w:tc>
          <w:tcPr>
            <w:tcW w:w="1065" w:type="dxa"/>
            <w:tcBorders>
              <w:top w:val="single" w:color="auto" w:sz="4" w:space="0"/>
              <w:left w:val="single" w:color="auto" w:sz="4" w:space="0"/>
              <w:bottom w:val="single" w:color="auto" w:sz="4" w:space="0"/>
              <w:right w:val="single" w:color="auto" w:sz="4" w:space="0"/>
            </w:tcBorders>
            <w:vAlign w:val="center"/>
          </w:tcPr>
          <w:p w14:paraId="3C6EE8D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b/>
                <w:i w:val="0"/>
                <w:color w:val="000000"/>
                <w:sz w:val="28"/>
                <w:szCs w:val="28"/>
                <w:u w:val="none"/>
                <w:lang w:val="en-US" w:eastAsia="zh-CN"/>
              </w:rPr>
            </w:pPr>
            <w:r>
              <w:rPr>
                <w:rFonts w:hint="eastAsia" w:cs="Times New Roman"/>
                <w:b/>
                <w:i w:val="0"/>
                <w:color w:val="000000"/>
                <w:sz w:val="28"/>
                <w:szCs w:val="28"/>
                <w:u w:val="none"/>
                <w:lang w:val="en-US" w:eastAsia="zh-CN"/>
              </w:rPr>
              <w:t>政治面貌</w:t>
            </w:r>
          </w:p>
        </w:tc>
        <w:tc>
          <w:tcPr>
            <w:tcW w:w="1530" w:type="dxa"/>
            <w:tcBorders>
              <w:left w:val="single" w:color="auto" w:sz="4" w:space="0"/>
              <w:bottom w:val="single" w:color="auto" w:sz="4" w:space="0"/>
              <w:right w:val="single" w:color="auto" w:sz="4" w:space="0"/>
            </w:tcBorders>
            <w:vAlign w:val="center"/>
          </w:tcPr>
          <w:p w14:paraId="161D11F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i w:val="0"/>
                <w:color w:val="000000"/>
                <w:kern w:val="2"/>
                <w:sz w:val="28"/>
                <w:szCs w:val="28"/>
                <w:u w:val="none"/>
                <w:lang w:val="en-US" w:eastAsia="zh-CN"/>
              </w:rPr>
            </w:pPr>
            <w:r>
              <w:rPr>
                <w:rFonts w:hint="default" w:ascii="Times New Roman" w:hAnsi="Times New Roman" w:eastAsia="宋体" w:cs="Times New Roman"/>
                <w:b/>
                <w:i w:val="0"/>
                <w:color w:val="000000"/>
                <w:kern w:val="0"/>
                <w:sz w:val="28"/>
                <w:szCs w:val="28"/>
                <w:u w:val="none"/>
                <w:lang w:val="en-US" w:eastAsia="zh-CN"/>
              </w:rPr>
              <w:t>其他条件</w:t>
            </w:r>
          </w:p>
        </w:tc>
        <w:tc>
          <w:tcPr>
            <w:tcW w:w="1215" w:type="dxa"/>
            <w:vMerge w:val="continue"/>
            <w:tcBorders>
              <w:left w:val="single" w:color="auto" w:sz="4" w:space="0"/>
              <w:bottom w:val="single" w:color="auto" w:sz="4" w:space="0"/>
              <w:right w:val="single" w:color="auto" w:sz="4" w:space="0"/>
            </w:tcBorders>
            <w:vAlign w:val="center"/>
          </w:tcPr>
          <w:p w14:paraId="7E75DA05">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b/>
                <w:i w:val="0"/>
                <w:color w:val="000000"/>
                <w:sz w:val="28"/>
                <w:szCs w:val="28"/>
                <w:u w:val="none"/>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51D9775A">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b/>
                <w:i w:val="0"/>
                <w:color w:val="000000"/>
                <w:sz w:val="28"/>
                <w:szCs w:val="28"/>
                <w:u w:val="none"/>
              </w:rPr>
            </w:pPr>
          </w:p>
        </w:tc>
        <w:tc>
          <w:tcPr>
            <w:tcW w:w="1414" w:type="dxa"/>
            <w:vMerge w:val="continue"/>
            <w:tcBorders>
              <w:top w:val="single" w:color="auto" w:sz="4" w:space="0"/>
              <w:left w:val="single" w:color="auto" w:sz="4" w:space="0"/>
              <w:bottom w:val="single" w:color="auto" w:sz="4" w:space="0"/>
              <w:right w:val="single" w:color="auto" w:sz="4" w:space="0"/>
            </w:tcBorders>
            <w:vAlign w:val="center"/>
          </w:tcPr>
          <w:p w14:paraId="551CF0FA">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b/>
                <w:i w:val="0"/>
                <w:color w:val="000000"/>
                <w:sz w:val="28"/>
                <w:szCs w:val="28"/>
                <w:u w:val="none"/>
              </w:rPr>
            </w:pPr>
          </w:p>
        </w:tc>
      </w:tr>
      <w:tr w14:paraId="600E0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7" w:hRule="atLeast"/>
        </w:trPr>
        <w:tc>
          <w:tcPr>
            <w:tcW w:w="1206" w:type="dxa"/>
            <w:vMerge w:val="restart"/>
            <w:tcBorders>
              <w:top w:val="single" w:color="auto" w:sz="4" w:space="0"/>
              <w:left w:val="single" w:color="auto" w:sz="4" w:space="0"/>
              <w:right w:val="single" w:color="auto" w:sz="4" w:space="0"/>
            </w:tcBorders>
            <w:vAlign w:val="center"/>
          </w:tcPr>
          <w:p w14:paraId="3B726128">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市国资委</w:t>
            </w:r>
          </w:p>
        </w:tc>
        <w:tc>
          <w:tcPr>
            <w:tcW w:w="1129" w:type="dxa"/>
            <w:tcBorders>
              <w:top w:val="single" w:color="auto" w:sz="4" w:space="0"/>
              <w:left w:val="single" w:color="auto" w:sz="4" w:space="0"/>
              <w:bottom w:val="single" w:color="auto" w:sz="4" w:space="0"/>
              <w:right w:val="single" w:color="auto" w:sz="4" w:space="0"/>
            </w:tcBorders>
            <w:vAlign w:val="center"/>
          </w:tcPr>
          <w:p w14:paraId="1F1EEE45">
            <w:pPr>
              <w:keepNext w:val="0"/>
              <w:keepLines w:val="0"/>
              <w:pageBreakBefore w:val="0"/>
              <w:widowControl w:val="0"/>
              <w:kinsoku/>
              <w:wordWrap/>
              <w:overflowPunct/>
              <w:topLinePunct w:val="0"/>
              <w:autoSpaceDE/>
              <w:autoSpaceDN/>
              <w:bidi w:val="0"/>
              <w:adjustRightInd/>
              <w:snapToGrid/>
              <w:spacing w:line="300" w:lineRule="exact"/>
              <w:jc w:val="center"/>
              <w:rPr>
                <w:rFonts w:hint="default" w:ascii="宋体" w:hAnsi="宋体" w:eastAsia="宋体" w:cs="宋体"/>
                <w:i w:val="0"/>
                <w:color w:val="000000"/>
                <w:kern w:val="2"/>
                <w:sz w:val="21"/>
                <w:szCs w:val="21"/>
                <w:u w:val="none"/>
                <w:lang w:val="en-US" w:eastAsia="zh-CN"/>
              </w:rPr>
            </w:pPr>
            <w:r>
              <w:rPr>
                <w:rFonts w:hint="eastAsia" w:ascii="宋体" w:hAnsi="宋体" w:cs="宋体"/>
                <w:i w:val="0"/>
                <w:color w:val="000000"/>
                <w:sz w:val="21"/>
                <w:szCs w:val="21"/>
                <w:u w:val="none"/>
                <w:lang w:val="en-US" w:eastAsia="zh-CN"/>
              </w:rPr>
              <w:t>市国有企业绩效监测评估中心</w:t>
            </w:r>
          </w:p>
        </w:tc>
        <w:tc>
          <w:tcPr>
            <w:tcW w:w="580" w:type="dxa"/>
            <w:tcBorders>
              <w:top w:val="single" w:color="auto" w:sz="4" w:space="0"/>
              <w:left w:val="single" w:color="auto" w:sz="4" w:space="0"/>
              <w:bottom w:val="single" w:color="auto" w:sz="4" w:space="0"/>
              <w:right w:val="single" w:color="auto" w:sz="4" w:space="0"/>
            </w:tcBorders>
            <w:vAlign w:val="center"/>
          </w:tcPr>
          <w:p w14:paraId="4D9F1616">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color w:val="000000"/>
                <w:kern w:val="0"/>
                <w:sz w:val="21"/>
                <w:szCs w:val="21"/>
                <w:u w:val="none"/>
                <w:lang w:val="en-US" w:eastAsia="zh-CN"/>
              </w:rPr>
            </w:pPr>
            <w:r>
              <w:rPr>
                <w:rFonts w:hint="eastAsia" w:ascii="宋体" w:hAnsi="宋体" w:cs="宋体"/>
                <w:i w:val="0"/>
                <w:color w:val="000000"/>
                <w:kern w:val="0"/>
                <w:sz w:val="21"/>
                <w:szCs w:val="21"/>
                <w:u w:val="none"/>
                <w:lang w:val="en-US" w:eastAsia="zh-CN"/>
              </w:rPr>
              <w:t>1</w:t>
            </w:r>
          </w:p>
        </w:tc>
        <w:tc>
          <w:tcPr>
            <w:tcW w:w="812" w:type="dxa"/>
            <w:tcBorders>
              <w:top w:val="single" w:color="auto" w:sz="4" w:space="0"/>
              <w:left w:val="single" w:color="auto" w:sz="4" w:space="0"/>
              <w:bottom w:val="single" w:color="auto" w:sz="4" w:space="0"/>
              <w:right w:val="single" w:color="auto" w:sz="4" w:space="0"/>
            </w:tcBorders>
            <w:vAlign w:val="center"/>
          </w:tcPr>
          <w:p w14:paraId="380A8989">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color w:val="000000"/>
                <w:kern w:val="0"/>
                <w:sz w:val="21"/>
                <w:szCs w:val="21"/>
                <w:u w:val="none"/>
                <w:lang w:val="en-US" w:eastAsia="zh-CN"/>
              </w:rPr>
            </w:pPr>
            <w:r>
              <w:rPr>
                <w:rFonts w:hint="eastAsia" w:ascii="宋体" w:hAnsi="宋体" w:cs="宋体"/>
                <w:i w:val="0"/>
                <w:color w:val="000000"/>
                <w:kern w:val="0"/>
                <w:sz w:val="21"/>
                <w:szCs w:val="21"/>
                <w:u w:val="none"/>
                <w:lang w:val="en-US" w:eastAsia="zh-CN"/>
              </w:rPr>
              <w:t>文字综合岗</w:t>
            </w:r>
          </w:p>
        </w:tc>
        <w:tc>
          <w:tcPr>
            <w:tcW w:w="1950" w:type="dxa"/>
            <w:tcBorders>
              <w:top w:val="single" w:color="auto" w:sz="4" w:space="0"/>
              <w:left w:val="single" w:color="auto" w:sz="4" w:space="0"/>
              <w:bottom w:val="single" w:color="auto" w:sz="4" w:space="0"/>
              <w:right w:val="single" w:color="auto" w:sz="4" w:space="0"/>
            </w:tcBorders>
            <w:vAlign w:val="center"/>
          </w:tcPr>
          <w:p w14:paraId="07F401FC">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color w:val="000000"/>
                <w:kern w:val="2"/>
                <w:sz w:val="21"/>
                <w:szCs w:val="21"/>
                <w:u w:val="none"/>
                <w:lang w:val="en-US" w:eastAsia="zh-CN"/>
              </w:rPr>
            </w:pPr>
            <w:r>
              <w:rPr>
                <w:rFonts w:hint="eastAsia" w:ascii="宋体" w:hAnsi="宋体" w:cs="宋体"/>
                <w:i w:val="0"/>
                <w:color w:val="000000"/>
                <w:kern w:val="2"/>
                <w:sz w:val="21"/>
                <w:szCs w:val="21"/>
                <w:u w:val="none"/>
                <w:lang w:val="en-US" w:eastAsia="zh-CN"/>
              </w:rPr>
              <w:t>负责单位综合性材料、工作总结、重要专题材料、会议纪要、领导讲话等文稿起草工作；负责会议通知、材料准备、会议记录等工作；跟踪重点工作推进情况及领导指示的落实情况。</w:t>
            </w:r>
          </w:p>
        </w:tc>
        <w:tc>
          <w:tcPr>
            <w:tcW w:w="1395" w:type="dxa"/>
            <w:vMerge w:val="restart"/>
            <w:tcBorders>
              <w:top w:val="single" w:color="auto" w:sz="4" w:space="0"/>
              <w:left w:val="single" w:color="auto" w:sz="4" w:space="0"/>
              <w:right w:val="single" w:color="auto" w:sz="4" w:space="0"/>
            </w:tcBorders>
            <w:vAlign w:val="center"/>
          </w:tcPr>
          <w:p w14:paraId="633CB664">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1"/>
                <w:szCs w:val="21"/>
                <w:u w:val="none"/>
                <w:lang w:val="en-US" w:eastAsia="zh-CN"/>
              </w:rPr>
            </w:pPr>
            <w:r>
              <w:rPr>
                <w:rFonts w:hint="eastAsia" w:ascii="宋体" w:hAnsi="宋体" w:eastAsia="宋体" w:cs="宋体"/>
                <w:i w:val="0"/>
                <w:color w:val="000000"/>
                <w:kern w:val="0"/>
                <w:sz w:val="21"/>
                <w:szCs w:val="21"/>
                <w:u w:val="none"/>
                <w:lang w:val="en-US" w:eastAsia="zh-CN"/>
              </w:rPr>
              <w:t>大学本科及以上</w:t>
            </w:r>
          </w:p>
        </w:tc>
        <w:tc>
          <w:tcPr>
            <w:tcW w:w="1095" w:type="dxa"/>
            <w:vMerge w:val="restart"/>
            <w:tcBorders>
              <w:top w:val="single" w:color="auto" w:sz="4" w:space="0"/>
              <w:left w:val="single" w:color="auto" w:sz="4" w:space="0"/>
              <w:right w:val="single" w:color="auto" w:sz="4" w:space="0"/>
            </w:tcBorders>
            <w:vAlign w:val="center"/>
          </w:tcPr>
          <w:p w14:paraId="0F15748D">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color w:val="000000"/>
                <w:kern w:val="2"/>
                <w:sz w:val="21"/>
                <w:szCs w:val="21"/>
                <w:u w:val="none"/>
                <w:lang w:val="en-US" w:eastAsia="zh-CN"/>
              </w:rPr>
            </w:pPr>
            <w:r>
              <w:rPr>
                <w:rFonts w:hint="default" w:ascii="宋体" w:hAnsi="宋体" w:eastAsia="宋体" w:cs="宋体"/>
                <w:i w:val="0"/>
                <w:color w:val="000000"/>
                <w:kern w:val="2"/>
                <w:sz w:val="21"/>
                <w:szCs w:val="21"/>
                <w:u w:val="none"/>
                <w:lang w:val="en-US" w:eastAsia="zh-CN"/>
              </w:rPr>
              <w:t>取得与报名学历相对应的学位</w:t>
            </w:r>
          </w:p>
        </w:tc>
        <w:tc>
          <w:tcPr>
            <w:tcW w:w="1365" w:type="dxa"/>
            <w:vMerge w:val="restart"/>
            <w:tcBorders>
              <w:top w:val="single" w:color="auto" w:sz="4" w:space="0"/>
              <w:left w:val="single" w:color="auto" w:sz="4" w:space="0"/>
              <w:right w:val="single" w:color="auto" w:sz="4" w:space="0"/>
            </w:tcBorders>
            <w:vAlign w:val="center"/>
          </w:tcPr>
          <w:p w14:paraId="4BD60875">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color w:val="000000"/>
                <w:kern w:val="2"/>
                <w:sz w:val="21"/>
                <w:szCs w:val="21"/>
                <w:u w:val="none"/>
                <w:lang w:val="en-US" w:eastAsia="zh-CN"/>
              </w:rPr>
            </w:pPr>
            <w:r>
              <w:rPr>
                <w:rFonts w:hint="eastAsia" w:ascii="宋体" w:hAnsi="宋体" w:cs="宋体"/>
                <w:i w:val="0"/>
                <w:color w:val="000000"/>
                <w:kern w:val="0"/>
                <w:sz w:val="21"/>
                <w:szCs w:val="21"/>
                <w:u w:val="none"/>
                <w:lang w:val="en-US" w:eastAsia="zh-CN"/>
              </w:rPr>
              <w:t>不限；具有较强的数据处理、逻辑分析、报告撰写能力者优先；有证券、研究机构等行业研究经历者优先；有中级会计、审计、税收职称者优先。</w:t>
            </w:r>
          </w:p>
        </w:tc>
        <w:tc>
          <w:tcPr>
            <w:tcW w:w="1065" w:type="dxa"/>
            <w:vMerge w:val="restart"/>
            <w:tcBorders>
              <w:top w:val="single" w:color="auto" w:sz="4" w:space="0"/>
              <w:left w:val="single" w:color="auto" w:sz="4" w:space="0"/>
              <w:right w:val="single" w:color="auto" w:sz="4" w:space="0"/>
            </w:tcBorders>
            <w:vAlign w:val="center"/>
          </w:tcPr>
          <w:p w14:paraId="76E813D3">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1"/>
                <w:szCs w:val="21"/>
                <w:u w:val="none"/>
                <w:lang w:val="en-US" w:eastAsia="zh-CN"/>
              </w:rPr>
            </w:pPr>
            <w:r>
              <w:rPr>
                <w:rFonts w:hint="eastAsia" w:ascii="宋体" w:hAnsi="宋体" w:cs="宋体"/>
                <w:i w:val="0"/>
                <w:color w:val="000000"/>
                <w:kern w:val="0"/>
                <w:sz w:val="21"/>
                <w:szCs w:val="21"/>
                <w:u w:val="none"/>
                <w:lang w:val="en-US" w:eastAsia="zh-CN"/>
              </w:rPr>
              <w:t>不限</w:t>
            </w:r>
          </w:p>
        </w:tc>
        <w:tc>
          <w:tcPr>
            <w:tcW w:w="1530" w:type="dxa"/>
            <w:tcBorders>
              <w:top w:val="single" w:color="auto" w:sz="4" w:space="0"/>
              <w:left w:val="single" w:color="auto" w:sz="4" w:space="0"/>
              <w:bottom w:val="single" w:color="auto" w:sz="4" w:space="0"/>
              <w:right w:val="single" w:color="auto" w:sz="4" w:space="0"/>
            </w:tcBorders>
            <w:vAlign w:val="center"/>
          </w:tcPr>
          <w:p w14:paraId="0A0F63B3">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color w:val="000000"/>
                <w:kern w:val="2"/>
                <w:sz w:val="21"/>
                <w:szCs w:val="21"/>
                <w:u w:val="none"/>
                <w:lang w:val="en-US" w:eastAsia="zh-CN"/>
              </w:rPr>
            </w:pPr>
            <w:r>
              <w:rPr>
                <w:rFonts w:hint="default" w:ascii="宋体" w:hAnsi="宋体" w:eastAsia="宋体" w:cs="宋体"/>
                <w:i w:val="0"/>
                <w:color w:val="000000"/>
                <w:kern w:val="2"/>
                <w:sz w:val="21"/>
                <w:szCs w:val="21"/>
                <w:u w:val="none"/>
                <w:lang w:val="en-US" w:eastAsia="zh-CN"/>
              </w:rPr>
              <w:t>正科级</w:t>
            </w:r>
            <w:r>
              <w:rPr>
                <w:rFonts w:hint="eastAsia" w:ascii="宋体" w:hAnsi="宋体" w:cs="宋体"/>
                <w:i w:val="0"/>
                <w:color w:val="000000"/>
                <w:kern w:val="2"/>
                <w:sz w:val="21"/>
                <w:szCs w:val="21"/>
                <w:u w:val="none"/>
                <w:lang w:val="en-US" w:eastAsia="zh-CN"/>
              </w:rPr>
              <w:t>、副科级</w:t>
            </w:r>
            <w:r>
              <w:rPr>
                <w:rFonts w:hint="default" w:ascii="宋体" w:hAnsi="宋体" w:eastAsia="宋体" w:cs="宋体"/>
                <w:i w:val="0"/>
                <w:color w:val="000000"/>
                <w:kern w:val="2"/>
                <w:sz w:val="21"/>
                <w:szCs w:val="21"/>
                <w:u w:val="none"/>
                <w:lang w:val="en-US" w:eastAsia="zh-CN"/>
              </w:rPr>
              <w:t>岗位公务员（参公人员）和事业人员</w:t>
            </w:r>
            <w:r>
              <w:rPr>
                <w:rFonts w:hint="eastAsia" w:ascii="宋体" w:hAnsi="宋体" w:cs="宋体"/>
                <w:i w:val="0"/>
                <w:color w:val="000000"/>
                <w:kern w:val="2"/>
                <w:sz w:val="21"/>
                <w:szCs w:val="21"/>
                <w:u w:val="none"/>
                <w:lang w:val="en-US" w:eastAsia="zh-CN"/>
              </w:rPr>
              <w:t>（或相当层次职级）</w:t>
            </w:r>
          </w:p>
        </w:tc>
        <w:tc>
          <w:tcPr>
            <w:tcW w:w="1215" w:type="dxa"/>
            <w:tcBorders>
              <w:top w:val="single" w:color="auto" w:sz="4" w:space="0"/>
              <w:left w:val="single" w:color="auto" w:sz="4" w:space="0"/>
              <w:bottom w:val="single" w:color="auto" w:sz="4" w:space="0"/>
              <w:right w:val="single" w:color="auto" w:sz="4" w:space="0"/>
            </w:tcBorders>
            <w:vAlign w:val="center"/>
          </w:tcPr>
          <w:p w14:paraId="6780174A">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color w:val="000000"/>
                <w:kern w:val="0"/>
                <w:sz w:val="21"/>
                <w:szCs w:val="21"/>
                <w:u w:val="none"/>
                <w:lang w:val="en-US" w:eastAsia="zh-CN"/>
              </w:rPr>
            </w:pPr>
            <w:r>
              <w:rPr>
                <w:rFonts w:hint="default" w:ascii="宋体" w:hAnsi="宋体" w:eastAsia="宋体" w:cs="宋体"/>
                <w:i w:val="0"/>
                <w:color w:val="000000"/>
                <w:kern w:val="0"/>
                <w:sz w:val="21"/>
                <w:szCs w:val="21"/>
                <w:u w:val="none"/>
                <w:lang w:val="en-US" w:eastAsia="zh-CN"/>
              </w:rPr>
              <w:t>198</w:t>
            </w:r>
            <w:r>
              <w:rPr>
                <w:rFonts w:hint="eastAsia" w:ascii="宋体" w:hAnsi="宋体" w:cs="宋体"/>
                <w:i w:val="0"/>
                <w:color w:val="000000"/>
                <w:kern w:val="0"/>
                <w:sz w:val="21"/>
                <w:szCs w:val="21"/>
                <w:u w:val="none"/>
                <w:lang w:val="en-US" w:eastAsia="zh-CN"/>
              </w:rPr>
              <w:t>3</w:t>
            </w:r>
            <w:r>
              <w:rPr>
                <w:rFonts w:hint="default" w:ascii="宋体" w:hAnsi="宋体" w:eastAsia="宋体" w:cs="宋体"/>
                <w:i w:val="0"/>
                <w:color w:val="000000"/>
                <w:kern w:val="0"/>
                <w:sz w:val="21"/>
                <w:szCs w:val="21"/>
                <w:u w:val="none"/>
                <w:lang w:val="en-US" w:eastAsia="zh-CN"/>
              </w:rPr>
              <w:t>年</w:t>
            </w:r>
            <w:r>
              <w:rPr>
                <w:rFonts w:hint="eastAsia" w:ascii="宋体" w:hAnsi="宋体" w:cs="宋体"/>
                <w:i w:val="0"/>
                <w:color w:val="000000"/>
                <w:kern w:val="0"/>
                <w:sz w:val="21"/>
                <w:szCs w:val="21"/>
                <w:u w:val="none"/>
                <w:lang w:val="en-US" w:eastAsia="zh-CN"/>
              </w:rPr>
              <w:t>8</w:t>
            </w:r>
            <w:r>
              <w:rPr>
                <w:rFonts w:hint="default" w:ascii="宋体" w:hAnsi="宋体" w:eastAsia="宋体" w:cs="宋体"/>
                <w:i w:val="0"/>
                <w:color w:val="000000"/>
                <w:kern w:val="0"/>
                <w:sz w:val="21"/>
                <w:szCs w:val="21"/>
                <w:u w:val="none"/>
                <w:lang w:val="en-US" w:eastAsia="zh-CN"/>
              </w:rPr>
              <w:t>月及以后出生（</w:t>
            </w:r>
            <w:r>
              <w:rPr>
                <w:rFonts w:hint="eastAsia" w:ascii="宋体" w:hAnsi="宋体" w:cs="宋体"/>
                <w:i w:val="0"/>
                <w:color w:val="000000"/>
                <w:kern w:val="0"/>
                <w:sz w:val="21"/>
                <w:szCs w:val="21"/>
                <w:u w:val="none"/>
                <w:lang w:val="en-US" w:eastAsia="zh-CN"/>
              </w:rPr>
              <w:t>40</w:t>
            </w:r>
            <w:r>
              <w:rPr>
                <w:rFonts w:hint="default" w:ascii="宋体" w:hAnsi="宋体" w:eastAsia="宋体" w:cs="宋体"/>
                <w:i w:val="0"/>
                <w:color w:val="000000"/>
                <w:kern w:val="0"/>
                <w:sz w:val="21"/>
                <w:szCs w:val="21"/>
                <w:u w:val="none"/>
                <w:lang w:val="en-US" w:eastAsia="zh-CN"/>
              </w:rPr>
              <w:t>周岁以下）</w:t>
            </w:r>
          </w:p>
        </w:tc>
        <w:tc>
          <w:tcPr>
            <w:tcW w:w="1260" w:type="dxa"/>
            <w:vMerge w:val="restart"/>
            <w:tcBorders>
              <w:top w:val="single" w:color="auto" w:sz="4" w:space="0"/>
              <w:left w:val="single" w:color="auto" w:sz="4" w:space="0"/>
              <w:right w:val="single" w:color="auto" w:sz="4" w:space="0"/>
            </w:tcBorders>
            <w:vAlign w:val="center"/>
          </w:tcPr>
          <w:p w14:paraId="1EFCA8E5">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公务员身份及参照公务员法管理人员身份考录后转为事业单位人员身份，占事业编制</w:t>
            </w:r>
          </w:p>
        </w:tc>
        <w:tc>
          <w:tcPr>
            <w:tcW w:w="1414" w:type="dxa"/>
            <w:vMerge w:val="restart"/>
            <w:tcBorders>
              <w:top w:val="single" w:color="auto" w:sz="4" w:space="0"/>
              <w:left w:val="single" w:color="auto" w:sz="4" w:space="0"/>
              <w:right w:val="single" w:color="auto" w:sz="4" w:space="0"/>
            </w:tcBorders>
            <w:vAlign w:val="center"/>
          </w:tcPr>
          <w:p w14:paraId="350438E7">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 xml:space="preserve">   </w:t>
            </w:r>
          </w:p>
          <w:p w14:paraId="570DA8C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0478—</w:t>
            </w:r>
            <w:r>
              <w:rPr>
                <w:rFonts w:hint="eastAsia" w:ascii="宋体" w:hAnsi="宋体" w:cs="宋体"/>
                <w:i w:val="0"/>
                <w:color w:val="000000"/>
                <w:kern w:val="0"/>
                <w:sz w:val="21"/>
                <w:szCs w:val="21"/>
                <w:u w:val="none"/>
                <w:lang w:val="en-US" w:eastAsia="zh-CN"/>
              </w:rPr>
              <w:t>7901260</w:t>
            </w:r>
            <w:r>
              <w:rPr>
                <w:rFonts w:hint="eastAsia" w:ascii="宋体" w:hAnsi="宋体" w:eastAsia="宋体" w:cs="宋体"/>
                <w:i w:val="0"/>
                <w:color w:val="000000"/>
                <w:kern w:val="0"/>
                <w:sz w:val="21"/>
                <w:szCs w:val="21"/>
                <w:u w:val="none"/>
                <w:lang w:val="en-US" w:eastAsia="zh-CN"/>
              </w:rPr>
              <w:t xml:space="preserve"> </w:t>
            </w:r>
          </w:p>
        </w:tc>
      </w:tr>
      <w:tr w14:paraId="22D76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7" w:hRule="atLeast"/>
        </w:trPr>
        <w:tc>
          <w:tcPr>
            <w:tcW w:w="1206" w:type="dxa"/>
            <w:vMerge w:val="continue"/>
            <w:tcBorders>
              <w:left w:val="single" w:color="auto" w:sz="4" w:space="0"/>
              <w:bottom w:val="single" w:color="auto" w:sz="4" w:space="0"/>
              <w:right w:val="single" w:color="auto" w:sz="4" w:space="0"/>
            </w:tcBorders>
            <w:vAlign w:val="center"/>
          </w:tcPr>
          <w:p w14:paraId="0DD4203D">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cs="宋体"/>
                <w:i w:val="0"/>
                <w:color w:val="000000"/>
                <w:sz w:val="21"/>
                <w:szCs w:val="21"/>
                <w:u w:val="none"/>
                <w:lang w:val="en-US" w:eastAsia="zh-CN"/>
              </w:rPr>
            </w:pPr>
          </w:p>
        </w:tc>
        <w:tc>
          <w:tcPr>
            <w:tcW w:w="1129" w:type="dxa"/>
            <w:tcBorders>
              <w:top w:val="single" w:color="auto" w:sz="4" w:space="0"/>
              <w:left w:val="single" w:color="auto" w:sz="4" w:space="0"/>
              <w:bottom w:val="single" w:color="auto" w:sz="4" w:space="0"/>
              <w:right w:val="single" w:color="auto" w:sz="4" w:space="0"/>
            </w:tcBorders>
            <w:vAlign w:val="center"/>
          </w:tcPr>
          <w:p w14:paraId="36E120CE">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市国有企业绩效监测评估中心</w:t>
            </w:r>
          </w:p>
        </w:tc>
        <w:tc>
          <w:tcPr>
            <w:tcW w:w="580" w:type="dxa"/>
            <w:tcBorders>
              <w:top w:val="single" w:color="auto" w:sz="4" w:space="0"/>
              <w:left w:val="single" w:color="auto" w:sz="4" w:space="0"/>
              <w:bottom w:val="single" w:color="auto" w:sz="4" w:space="0"/>
              <w:right w:val="single" w:color="auto" w:sz="4" w:space="0"/>
            </w:tcBorders>
            <w:vAlign w:val="center"/>
          </w:tcPr>
          <w:p w14:paraId="0EAC45D5">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color w:val="000000"/>
                <w:kern w:val="0"/>
                <w:sz w:val="21"/>
                <w:szCs w:val="21"/>
                <w:u w:val="none"/>
                <w:lang w:val="en-US" w:eastAsia="zh-CN"/>
              </w:rPr>
            </w:pPr>
            <w:r>
              <w:rPr>
                <w:rFonts w:hint="eastAsia" w:ascii="宋体" w:hAnsi="宋体" w:cs="宋体"/>
                <w:i w:val="0"/>
                <w:color w:val="000000"/>
                <w:kern w:val="0"/>
                <w:sz w:val="21"/>
                <w:szCs w:val="21"/>
                <w:u w:val="none"/>
                <w:lang w:val="en-US" w:eastAsia="zh-CN"/>
              </w:rPr>
              <w:t>3</w:t>
            </w:r>
          </w:p>
        </w:tc>
        <w:tc>
          <w:tcPr>
            <w:tcW w:w="812" w:type="dxa"/>
            <w:tcBorders>
              <w:top w:val="single" w:color="auto" w:sz="4" w:space="0"/>
              <w:left w:val="single" w:color="auto" w:sz="4" w:space="0"/>
              <w:bottom w:val="single" w:color="auto" w:sz="4" w:space="0"/>
              <w:right w:val="single" w:color="auto" w:sz="4" w:space="0"/>
            </w:tcBorders>
            <w:vAlign w:val="center"/>
          </w:tcPr>
          <w:p w14:paraId="7B0EA7E9">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kern w:val="0"/>
                <w:sz w:val="21"/>
                <w:szCs w:val="21"/>
                <w:u w:val="none"/>
                <w:lang w:val="en-US" w:eastAsia="zh-CN"/>
              </w:rPr>
            </w:pPr>
            <w:r>
              <w:rPr>
                <w:rFonts w:hint="eastAsia" w:ascii="宋体" w:hAnsi="宋体" w:cs="宋体"/>
                <w:i w:val="0"/>
                <w:color w:val="000000"/>
                <w:kern w:val="0"/>
                <w:sz w:val="21"/>
                <w:szCs w:val="21"/>
                <w:u w:val="none"/>
                <w:lang w:val="en-US" w:eastAsia="zh-CN"/>
              </w:rPr>
              <w:t>评估分析岗</w:t>
            </w:r>
          </w:p>
        </w:tc>
        <w:tc>
          <w:tcPr>
            <w:tcW w:w="1950" w:type="dxa"/>
            <w:tcBorders>
              <w:top w:val="single" w:color="auto" w:sz="4" w:space="0"/>
              <w:left w:val="single" w:color="auto" w:sz="4" w:space="0"/>
              <w:bottom w:val="single" w:color="auto" w:sz="4" w:space="0"/>
              <w:right w:val="single" w:color="auto" w:sz="4" w:space="0"/>
            </w:tcBorders>
            <w:vAlign w:val="center"/>
          </w:tcPr>
          <w:p w14:paraId="580628C0">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1"/>
                <w:szCs w:val="21"/>
                <w:u w:val="none"/>
                <w:lang w:val="en-US" w:eastAsia="zh-CN"/>
              </w:rPr>
            </w:pPr>
            <w:r>
              <w:rPr>
                <w:rFonts w:hint="eastAsia" w:ascii="宋体" w:hAnsi="宋体" w:cs="宋体"/>
                <w:i w:val="0"/>
                <w:color w:val="000000"/>
                <w:kern w:val="2"/>
                <w:sz w:val="21"/>
                <w:szCs w:val="21"/>
                <w:u w:val="none"/>
                <w:lang w:val="en-US" w:eastAsia="zh-CN"/>
              </w:rPr>
              <w:t>承担所监管企业经济运行统计分析、行业市场发展趋势分析研究；负责构建符合业务流程的数据模型和指标体系；配合市国资委机关开展国家及本市国资发展政策综合研究。</w:t>
            </w:r>
          </w:p>
        </w:tc>
        <w:tc>
          <w:tcPr>
            <w:tcW w:w="1395" w:type="dxa"/>
            <w:vMerge w:val="continue"/>
            <w:tcBorders>
              <w:left w:val="single" w:color="auto" w:sz="4" w:space="0"/>
              <w:bottom w:val="single" w:color="auto" w:sz="4" w:space="0"/>
              <w:right w:val="single" w:color="auto" w:sz="4" w:space="0"/>
            </w:tcBorders>
            <w:vAlign w:val="center"/>
          </w:tcPr>
          <w:p w14:paraId="2249C0C6">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1"/>
                <w:szCs w:val="21"/>
                <w:u w:val="none"/>
                <w:lang w:val="en-US" w:eastAsia="zh-CN"/>
              </w:rPr>
            </w:pPr>
          </w:p>
        </w:tc>
        <w:tc>
          <w:tcPr>
            <w:tcW w:w="1095" w:type="dxa"/>
            <w:vMerge w:val="continue"/>
            <w:tcBorders>
              <w:left w:val="single" w:color="auto" w:sz="4" w:space="0"/>
              <w:bottom w:val="single" w:color="auto" w:sz="4" w:space="0"/>
              <w:right w:val="single" w:color="auto" w:sz="4" w:space="0"/>
            </w:tcBorders>
            <w:vAlign w:val="center"/>
          </w:tcPr>
          <w:p w14:paraId="3A1F74F6">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color w:val="000000"/>
                <w:kern w:val="2"/>
                <w:sz w:val="21"/>
                <w:szCs w:val="21"/>
                <w:u w:val="none"/>
                <w:lang w:val="en-US" w:eastAsia="zh-CN"/>
              </w:rPr>
            </w:pPr>
          </w:p>
        </w:tc>
        <w:tc>
          <w:tcPr>
            <w:tcW w:w="1365" w:type="dxa"/>
            <w:vMerge w:val="continue"/>
            <w:tcBorders>
              <w:left w:val="single" w:color="auto" w:sz="4" w:space="0"/>
              <w:bottom w:val="single" w:color="auto" w:sz="4" w:space="0"/>
              <w:right w:val="single" w:color="auto" w:sz="4" w:space="0"/>
            </w:tcBorders>
            <w:vAlign w:val="center"/>
          </w:tcPr>
          <w:p w14:paraId="3B3C134D">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color w:val="000000"/>
                <w:kern w:val="2"/>
                <w:sz w:val="21"/>
                <w:szCs w:val="21"/>
                <w:u w:val="none"/>
                <w:lang w:val="en-US" w:eastAsia="zh-CN"/>
              </w:rPr>
            </w:pPr>
          </w:p>
        </w:tc>
        <w:tc>
          <w:tcPr>
            <w:tcW w:w="1065" w:type="dxa"/>
            <w:vMerge w:val="continue"/>
            <w:tcBorders>
              <w:left w:val="single" w:color="auto" w:sz="4" w:space="0"/>
              <w:bottom w:val="single" w:color="auto" w:sz="4" w:space="0"/>
              <w:right w:val="single" w:color="auto" w:sz="4" w:space="0"/>
            </w:tcBorders>
            <w:vAlign w:val="center"/>
          </w:tcPr>
          <w:p w14:paraId="4E186FB6">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2"/>
                <w:sz w:val="21"/>
                <w:szCs w:val="21"/>
                <w:u w:val="none"/>
                <w:lang w:val="en-US" w:eastAsia="zh-CN"/>
              </w:rPr>
            </w:pPr>
          </w:p>
        </w:tc>
        <w:tc>
          <w:tcPr>
            <w:tcW w:w="1530" w:type="dxa"/>
            <w:tcBorders>
              <w:top w:val="single" w:color="auto" w:sz="4" w:space="0"/>
              <w:left w:val="single" w:color="auto" w:sz="4" w:space="0"/>
              <w:bottom w:val="single" w:color="auto" w:sz="4" w:space="0"/>
              <w:right w:val="single" w:color="auto" w:sz="4" w:space="0"/>
            </w:tcBorders>
            <w:vAlign w:val="center"/>
          </w:tcPr>
          <w:p w14:paraId="554247A3">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cs="宋体"/>
                <w:i w:val="0"/>
                <w:color w:val="000000"/>
                <w:kern w:val="2"/>
                <w:sz w:val="21"/>
                <w:szCs w:val="21"/>
                <w:u w:val="none"/>
                <w:lang w:val="en-US" w:eastAsia="zh-CN"/>
              </w:rPr>
            </w:pPr>
            <w:r>
              <w:rPr>
                <w:rFonts w:hint="eastAsia" w:ascii="宋体" w:hAnsi="宋体" w:cs="宋体"/>
                <w:i w:val="0"/>
                <w:color w:val="000000"/>
                <w:kern w:val="2"/>
                <w:sz w:val="21"/>
                <w:szCs w:val="21"/>
                <w:u w:val="none"/>
                <w:lang w:val="en-US" w:eastAsia="zh-CN"/>
              </w:rPr>
              <w:t>副</w:t>
            </w:r>
            <w:r>
              <w:rPr>
                <w:rFonts w:hint="default" w:ascii="宋体" w:hAnsi="宋体" w:eastAsia="宋体" w:cs="宋体"/>
                <w:i w:val="0"/>
                <w:color w:val="000000"/>
                <w:kern w:val="2"/>
                <w:sz w:val="21"/>
                <w:szCs w:val="21"/>
                <w:u w:val="none"/>
                <w:lang w:val="en-US" w:eastAsia="zh-CN"/>
              </w:rPr>
              <w:t>科级以下岗位公务员（参公人员）和事业人员</w:t>
            </w:r>
            <w:r>
              <w:rPr>
                <w:rFonts w:hint="eastAsia" w:ascii="宋体" w:hAnsi="宋体" w:cs="宋体"/>
                <w:i w:val="0"/>
                <w:color w:val="000000"/>
                <w:kern w:val="2"/>
                <w:sz w:val="21"/>
                <w:szCs w:val="21"/>
                <w:u w:val="none"/>
                <w:lang w:val="en-US" w:eastAsia="zh-CN"/>
              </w:rPr>
              <w:t>（或相当层次职级）</w:t>
            </w:r>
          </w:p>
        </w:tc>
        <w:tc>
          <w:tcPr>
            <w:tcW w:w="1215" w:type="dxa"/>
            <w:tcBorders>
              <w:top w:val="single" w:color="auto" w:sz="4" w:space="0"/>
              <w:left w:val="single" w:color="auto" w:sz="4" w:space="0"/>
              <w:bottom w:val="single" w:color="auto" w:sz="4" w:space="0"/>
              <w:right w:val="single" w:color="auto" w:sz="4" w:space="0"/>
            </w:tcBorders>
            <w:vAlign w:val="center"/>
          </w:tcPr>
          <w:p w14:paraId="3EB1183F">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color w:val="000000"/>
                <w:kern w:val="0"/>
                <w:sz w:val="21"/>
                <w:szCs w:val="21"/>
                <w:u w:val="none"/>
                <w:lang w:val="en-US" w:eastAsia="zh-CN"/>
              </w:rPr>
            </w:pPr>
            <w:r>
              <w:rPr>
                <w:rFonts w:hint="default" w:ascii="宋体" w:hAnsi="宋体" w:eastAsia="宋体" w:cs="宋体"/>
                <w:i w:val="0"/>
                <w:color w:val="000000"/>
                <w:kern w:val="0"/>
                <w:sz w:val="21"/>
                <w:szCs w:val="21"/>
                <w:u w:val="none"/>
                <w:lang w:val="en-US" w:eastAsia="zh-CN"/>
              </w:rPr>
              <w:t>19</w:t>
            </w:r>
            <w:r>
              <w:rPr>
                <w:rFonts w:hint="eastAsia" w:ascii="宋体" w:hAnsi="宋体" w:cs="宋体"/>
                <w:i w:val="0"/>
                <w:color w:val="000000"/>
                <w:kern w:val="0"/>
                <w:sz w:val="21"/>
                <w:szCs w:val="21"/>
                <w:u w:val="none"/>
                <w:lang w:val="en-US" w:eastAsia="zh-CN"/>
              </w:rPr>
              <w:t>88</w:t>
            </w:r>
            <w:r>
              <w:rPr>
                <w:rFonts w:hint="default" w:ascii="宋体" w:hAnsi="宋体" w:eastAsia="宋体" w:cs="宋体"/>
                <w:i w:val="0"/>
                <w:color w:val="000000"/>
                <w:kern w:val="0"/>
                <w:sz w:val="21"/>
                <w:szCs w:val="21"/>
                <w:u w:val="none"/>
                <w:lang w:val="en-US" w:eastAsia="zh-CN"/>
              </w:rPr>
              <w:t>年</w:t>
            </w:r>
            <w:r>
              <w:rPr>
                <w:rFonts w:hint="eastAsia" w:ascii="宋体" w:hAnsi="宋体" w:cs="宋体"/>
                <w:i w:val="0"/>
                <w:color w:val="000000"/>
                <w:kern w:val="0"/>
                <w:sz w:val="21"/>
                <w:szCs w:val="21"/>
                <w:u w:val="none"/>
                <w:lang w:val="en-US" w:eastAsia="zh-CN"/>
              </w:rPr>
              <w:t>8</w:t>
            </w:r>
            <w:bookmarkStart w:id="0" w:name="_GoBack"/>
            <w:bookmarkEnd w:id="0"/>
            <w:r>
              <w:rPr>
                <w:rFonts w:hint="default" w:ascii="宋体" w:hAnsi="宋体" w:eastAsia="宋体" w:cs="宋体"/>
                <w:i w:val="0"/>
                <w:color w:val="000000"/>
                <w:kern w:val="0"/>
                <w:sz w:val="21"/>
                <w:szCs w:val="21"/>
                <w:u w:val="none"/>
                <w:lang w:val="en-US" w:eastAsia="zh-CN"/>
              </w:rPr>
              <w:t>月及以后出生（35周岁以下）</w:t>
            </w:r>
          </w:p>
        </w:tc>
        <w:tc>
          <w:tcPr>
            <w:tcW w:w="1260" w:type="dxa"/>
            <w:vMerge w:val="continue"/>
            <w:tcBorders>
              <w:left w:val="single" w:color="auto" w:sz="4" w:space="0"/>
              <w:bottom w:val="single" w:color="auto" w:sz="4" w:space="0"/>
              <w:right w:val="single" w:color="auto" w:sz="4" w:space="0"/>
            </w:tcBorders>
            <w:vAlign w:val="center"/>
          </w:tcPr>
          <w:p w14:paraId="2A9367D9">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kern w:val="0"/>
                <w:sz w:val="21"/>
                <w:szCs w:val="21"/>
                <w:u w:val="none"/>
                <w:lang w:val="en-US" w:eastAsia="zh-CN"/>
              </w:rPr>
            </w:pPr>
          </w:p>
        </w:tc>
        <w:tc>
          <w:tcPr>
            <w:tcW w:w="1414" w:type="dxa"/>
            <w:vMerge w:val="continue"/>
            <w:tcBorders>
              <w:left w:val="single" w:color="auto" w:sz="4" w:space="0"/>
              <w:bottom w:val="single" w:color="auto" w:sz="4" w:space="0"/>
              <w:right w:val="single" w:color="auto" w:sz="4" w:space="0"/>
            </w:tcBorders>
            <w:vAlign w:val="center"/>
          </w:tcPr>
          <w:p w14:paraId="32B21F9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1"/>
                <w:szCs w:val="21"/>
                <w:u w:val="none"/>
                <w:lang w:val="en-US" w:eastAsia="zh-CN"/>
              </w:rPr>
            </w:pPr>
          </w:p>
        </w:tc>
      </w:tr>
    </w:tbl>
    <w:p w14:paraId="291C5C5F">
      <w:pPr>
        <w:keepNext w:val="0"/>
        <w:keepLines w:val="0"/>
        <w:pageBreakBefore w:val="0"/>
        <w:widowControl w:val="0"/>
        <w:kinsoku/>
        <w:wordWrap/>
        <w:overflowPunct/>
        <w:topLinePunct w:val="0"/>
        <w:autoSpaceDE/>
        <w:autoSpaceDN/>
        <w:bidi w:val="0"/>
        <w:adjustRightInd/>
        <w:snapToGrid/>
        <w:spacing w:line="20" w:lineRule="exact"/>
        <w:textAlignment w:val="auto"/>
      </w:pP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xMjg3NjQ3ZDUyNTdjNzg3YTc4NWI0YzM5ZjJhZmYifQ=="/>
  </w:docVars>
  <w:rsids>
    <w:rsidRoot w:val="00000000"/>
    <w:rsid w:val="0DB26DA6"/>
    <w:rsid w:val="1BD614C3"/>
    <w:rsid w:val="26DE305B"/>
    <w:rsid w:val="32DF6ADB"/>
    <w:rsid w:val="3B413870"/>
    <w:rsid w:val="420951C4"/>
    <w:rsid w:val="4E6F7214"/>
    <w:rsid w:val="5644073C"/>
    <w:rsid w:val="63402869"/>
    <w:rsid w:val="6BE15456"/>
    <w:rsid w:val="75BE5F9B"/>
    <w:rsid w:val="769911A1"/>
    <w:rsid w:val="7A0F6AC6"/>
    <w:rsid w:val="7E736D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rPr>
  </w:style>
  <w:style w:type="character" w:default="1" w:styleId="5">
    <w:name w:val="Default Paragraph Font"/>
    <w:qFormat/>
    <w:uiPriority w:val="0"/>
  </w:style>
  <w:style w:type="table" w:default="1" w:styleId="4">
    <w:name w:val="Normal Table"/>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3">
    <w:name w:val="footer"/>
    <w:basedOn w:val="1"/>
    <w:autoRedefine/>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499</Words>
  <Characters>516</Characters>
  <Paragraphs>59</Paragraphs>
  <TotalTime>912</TotalTime>
  <ScaleCrop>false</ScaleCrop>
  <LinksUpToDate>false</LinksUpToDate>
  <CharactersWithSpaces>520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2021-12-04T11:49:00Z</dcterms:created>
  <dc:creator>蕾妮斯梅</dc:creator>
  <cp:lastModifiedBy>Julia</cp:lastModifiedBy>
  <cp:lastPrinted>2024-07-16T11:01:00Z</cp:lastPrinted>
  <dcterms:modified xsi:type="dcterms:W3CDTF">2024-08-20T02:15:15Z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2577ADD4E18A449ABA24D94818D3C554_13</vt:lpwstr>
  </property>
</Properties>
</file>