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640" w:leftChars="-200" w:right="-826" w:rightChars="-258" w:firstLine="560" w:firstLineChars="200"/>
        <w:jc w:val="left"/>
        <w:rPr>
          <w:rFonts w:eastAsia="方正黑体_GBK"/>
          <w:b w:val="0"/>
          <w:bCs/>
          <w:kern w:val="0"/>
          <w:sz w:val="28"/>
          <w:szCs w:val="28"/>
        </w:rPr>
      </w:pPr>
      <w:r>
        <w:rPr>
          <w:rFonts w:hint="eastAsia" w:eastAsia="方正黑体_GBK"/>
          <w:b w:val="0"/>
          <w:bCs/>
          <w:kern w:val="0"/>
          <w:sz w:val="28"/>
          <w:szCs w:val="28"/>
        </w:rPr>
        <w:t>附件</w:t>
      </w:r>
      <w:r>
        <w:rPr>
          <w:rFonts w:eastAsia="方正黑体_GBK"/>
          <w:b w:val="0"/>
          <w:bCs/>
          <w:kern w:val="0"/>
          <w:sz w:val="28"/>
          <w:szCs w:val="28"/>
        </w:rPr>
        <w:t>1</w:t>
      </w:r>
    </w:p>
    <w:p>
      <w:pPr>
        <w:pStyle w:val="3"/>
        <w:spacing w:line="600" w:lineRule="exact"/>
        <w:jc w:val="center"/>
        <w:rPr>
          <w:rFonts w:eastAsia="方正小标宋简体"/>
          <w:b w:val="0"/>
          <w:bCs/>
          <w:sz w:val="44"/>
          <w:szCs w:val="44"/>
        </w:rPr>
      </w:pPr>
      <w:r>
        <w:rPr>
          <w:rFonts w:hint="eastAsia" w:eastAsia="方正小标宋简体"/>
          <w:b w:val="0"/>
          <w:bCs/>
          <w:sz w:val="44"/>
          <w:szCs w:val="44"/>
        </w:rPr>
        <w:t>首都医科大学附属北京安贞医院南充医院</w:t>
      </w:r>
      <w:r>
        <w:rPr>
          <w:rFonts w:eastAsia="方正小标宋简体"/>
          <w:b w:val="0"/>
          <w:bCs/>
          <w:sz w:val="44"/>
          <w:szCs w:val="44"/>
        </w:rPr>
        <w:t xml:space="preserve"> </w:t>
      </w:r>
      <w:r>
        <w:rPr>
          <w:rFonts w:hint="eastAsia" w:eastAsia="方正小标宋简体"/>
          <w:b w:val="0"/>
          <w:bCs/>
          <w:sz w:val="44"/>
          <w:szCs w:val="44"/>
        </w:rPr>
        <w:t>南充市中心医院</w:t>
      </w:r>
      <w:r>
        <w:rPr>
          <w:rFonts w:eastAsia="方正小标宋简体"/>
          <w:b w:val="0"/>
          <w:bCs/>
          <w:sz w:val="44"/>
          <w:szCs w:val="44"/>
        </w:rPr>
        <w:t>2024</w:t>
      </w:r>
      <w:r>
        <w:rPr>
          <w:rFonts w:hint="eastAsia" w:eastAsia="方正小标宋简体"/>
          <w:b w:val="0"/>
          <w:bCs/>
          <w:sz w:val="44"/>
          <w:szCs w:val="44"/>
        </w:rPr>
        <w:t>年度引才需求信息表</w:t>
      </w:r>
    </w:p>
    <w:tbl>
      <w:tblPr>
        <w:tblStyle w:val="4"/>
        <w:tblW w:w="14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22"/>
        <w:gridCol w:w="1596"/>
        <w:gridCol w:w="1238"/>
        <w:gridCol w:w="1594"/>
        <w:gridCol w:w="3671"/>
        <w:gridCol w:w="879"/>
        <w:gridCol w:w="138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引进岗位</w:t>
            </w:r>
          </w:p>
        </w:tc>
        <w:tc>
          <w:tcPr>
            <w:tcW w:w="15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职务职称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59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367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提供薪酬、生活待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黑体" w:cs="方正黑体_GBK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eastAsia="黑体" w:cs="方正黑体_GBK"/>
                <w:b w:val="0"/>
                <w:bCs/>
                <w:kern w:val="0"/>
                <w:sz w:val="24"/>
                <w:szCs w:val="24"/>
              </w:rPr>
              <w:t>遇或其他优惠条件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临床医师、医技、护理岗（博士类）</w:t>
            </w:r>
          </w:p>
        </w:tc>
        <w:tc>
          <w:tcPr>
            <w:tcW w:w="15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医学类、护理（学）类</w:t>
            </w:r>
          </w:p>
        </w:tc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59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博士研究生学历且取得相应学位</w:t>
            </w:r>
          </w:p>
        </w:tc>
        <w:tc>
          <w:tcPr>
            <w:tcW w:w="367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年龄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45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周岁及以下；须具有三级甲等综合医院相关工作经历；取得规培结业合格证</w:t>
            </w:r>
          </w:p>
        </w:tc>
        <w:tc>
          <w:tcPr>
            <w:tcW w:w="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刚性引进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聘用后提供安家费、科研启动金及协助解决配偶工作和子女入学等问题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临床医师岗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5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内科学</w:t>
            </w:r>
          </w:p>
        </w:tc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59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367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年龄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35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周岁及以下；取得规培结业合格证；须具有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年及以上三级甲等综合医院相关工作经历</w:t>
            </w:r>
          </w:p>
        </w:tc>
        <w:tc>
          <w:tcPr>
            <w:tcW w:w="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刚性引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按医院相关标准执行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临床医师岗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外科学</w:t>
            </w:r>
          </w:p>
        </w:tc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59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367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年龄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35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周岁及以下；取得规培结业合格证；须具有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年及以上三级甲等综合医院相关工作经历</w:t>
            </w:r>
          </w:p>
        </w:tc>
        <w:tc>
          <w:tcPr>
            <w:tcW w:w="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刚性引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按医院相关标准执行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临床医师岗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5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神经病学</w:t>
            </w:r>
          </w:p>
        </w:tc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59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367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年龄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35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周岁及以下；取得规培结业合格证；须具有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年及以上三级甲等综合医院相关工作经历</w:t>
            </w:r>
          </w:p>
        </w:tc>
        <w:tc>
          <w:tcPr>
            <w:tcW w:w="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刚性引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按医院相关标准执行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医技岗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影像医学与核医学</w:t>
            </w:r>
          </w:p>
        </w:tc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59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367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年龄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35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周岁及以下；取得规培结业合格证；须具有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年及以上三级甲等综合医院相关工作经历</w:t>
            </w:r>
          </w:p>
        </w:tc>
        <w:tc>
          <w:tcPr>
            <w:tcW w:w="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刚性引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按医院相关标准执行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医技岗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药剂学、药理学、药学、中药学、微生物与生化药学、临床药学</w:t>
            </w:r>
          </w:p>
        </w:tc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59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367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年龄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35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周岁及以下；取得规培结业合格证；须具有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年及以上三级甲等综合医院相关工作经历</w:t>
            </w:r>
          </w:p>
        </w:tc>
        <w:tc>
          <w:tcPr>
            <w:tcW w:w="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刚性引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按医院相关标准执行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卫生服务保障岗</w:t>
            </w:r>
          </w:p>
        </w:tc>
        <w:tc>
          <w:tcPr>
            <w:tcW w:w="15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社会医学与卫生事业管理、营养与食品卫生学、公共卫生</w:t>
            </w:r>
          </w:p>
        </w:tc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59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367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年龄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35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周岁及以下；须具有</w:t>
            </w: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年及以上三级甲等综合医院相关工作经历</w:t>
            </w:r>
          </w:p>
        </w:tc>
        <w:tc>
          <w:tcPr>
            <w:tcW w:w="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刚性引</w:t>
            </w:r>
          </w:p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eastAsia="仿宋" w:cs="仿宋"/>
                <w:b w:val="0"/>
                <w:bCs/>
                <w:color w:val="000000"/>
                <w:kern w:val="0"/>
                <w:sz w:val="24"/>
              </w:rPr>
              <w:t>按医院相关标准执行</w:t>
            </w:r>
          </w:p>
        </w:tc>
      </w:tr>
    </w:tbl>
    <w:p>
      <w:pPr>
        <w:spacing w:line="600" w:lineRule="exact"/>
        <w:jc w:val="center"/>
        <w:rPr>
          <w:b w:val="0"/>
          <w:bCs/>
        </w:rPr>
        <w:sectPr>
          <w:pgSz w:w="16838" w:h="11906" w:orient="landscape"/>
          <w:pgMar w:top="1531" w:right="1417" w:bottom="1474" w:left="1417" w:header="851" w:footer="1247" w:gutter="0"/>
          <w:cols w:space="720" w:num="1"/>
          <w:docGrid w:linePitch="597" w:charSpace="0"/>
        </w:sectPr>
      </w:pPr>
    </w:p>
    <w:p>
      <w:pPr>
        <w:pStyle w:val="2"/>
        <w:spacing w:line="600" w:lineRule="exact"/>
        <w:rPr>
          <w:rFonts w:eastAsia="方正黑体_GBK"/>
          <w:b w:val="0"/>
          <w:bCs/>
          <w:sz w:val="28"/>
          <w:szCs w:val="28"/>
        </w:rPr>
      </w:pPr>
      <w:r>
        <w:rPr>
          <w:rFonts w:hint="eastAsia" w:eastAsia="方正黑体_GBK"/>
          <w:b w:val="0"/>
          <w:bCs/>
          <w:sz w:val="28"/>
          <w:szCs w:val="28"/>
        </w:rPr>
        <w:t>附件</w:t>
      </w:r>
      <w:r>
        <w:rPr>
          <w:rFonts w:eastAsia="方正黑体_GBK"/>
          <w:b w:val="0"/>
          <w:bCs/>
          <w:sz w:val="28"/>
          <w:szCs w:val="28"/>
        </w:rPr>
        <w:t>2</w:t>
      </w:r>
    </w:p>
    <w:p>
      <w:pPr>
        <w:widowControl/>
        <w:spacing w:line="660" w:lineRule="exact"/>
        <w:jc w:val="center"/>
        <w:rPr>
          <w:rFonts w:eastAsia="仿宋_GB2312"/>
          <w:b w:val="0"/>
          <w:bCs/>
          <w:color w:val="000000"/>
        </w:rPr>
      </w:pPr>
      <w:r>
        <w:rPr>
          <w:rFonts w:hint="eastAsia" w:eastAsia="方正小标宋简体"/>
          <w:b w:val="0"/>
          <w:bCs/>
          <w:color w:val="000000"/>
          <w:w w:val="96"/>
          <w:sz w:val="44"/>
          <w:szCs w:val="44"/>
        </w:rPr>
        <w:t>南充市</w:t>
      </w:r>
      <w:r>
        <w:rPr>
          <w:rFonts w:eastAsia="方正小标宋简体"/>
          <w:b w:val="0"/>
          <w:bCs/>
          <w:color w:val="000000"/>
          <w:w w:val="96"/>
          <w:sz w:val="44"/>
          <w:szCs w:val="44"/>
        </w:rPr>
        <w:t>2024</w:t>
      </w:r>
      <w:r>
        <w:rPr>
          <w:rFonts w:hint="eastAsia" w:eastAsia="方正小标宋简体"/>
          <w:b w:val="0"/>
          <w:bCs/>
          <w:color w:val="000000"/>
          <w:w w:val="96"/>
          <w:sz w:val="44"/>
          <w:szCs w:val="44"/>
        </w:rPr>
        <w:t>年度引进高层次人才报名表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出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生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照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片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13"/>
                <w:szCs w:val="13"/>
              </w:rPr>
              <w:t>寸彩色免冠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民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籍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健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康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状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入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党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时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参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时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教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职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教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1"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成员及重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要社会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年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ind w:right="315" w:rightChars="100"/>
        <w:rPr>
          <w:b w:val="0"/>
          <w:bCs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720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小标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Bp2gcnIAQAAmQMAAA4AAAAAAAAAAQAg&#10;AAAANAEAAGRycy9lMm9Eb2MueG1sUEsBAhQAFAAAAAgAh07iQM6pebnPAAAABQEAAA8AAAAAAAAA&#10;AQAgAAAAOAAAAGRycy9kb3ducmV2LnhtbFBLBQYAAAAABgAGAFkBAABu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44746"/>
    <w:rsid w:val="EFF4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 w:val="24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2024-09-03T16:50:00Z</dcterms:created>
  <dc:creator>uos</dc:creator>
  <cp:lastModifiedBy>uos</cp:lastModifiedBy>
  <dcterms:modified xsi:type="dcterms:W3CDTF">2024-09-03T16:50:54Z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