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37" w:type="dxa"/>
        <w:tblInd w:w="-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05"/>
        <w:gridCol w:w="1238"/>
        <w:gridCol w:w="1511"/>
        <w:gridCol w:w="1391"/>
        <w:gridCol w:w="1911"/>
        <w:gridCol w:w="1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03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北川羌族自治县2024年下半年公开考核招聘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0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贴本人近期同底版一寸彩色免冠照片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填报项目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报考岗位名称/代码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8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leftChars="0"/>
        <w:rPr>
          <w:rFonts w:hint="eastAsia"/>
        </w:rPr>
      </w:pPr>
    </w:p>
    <w:tbl>
      <w:tblPr>
        <w:tblStyle w:val="5"/>
        <w:tblW w:w="9938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867"/>
        <w:gridCol w:w="1867"/>
        <w:gridCol w:w="1268"/>
        <w:gridCol w:w="3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</w:t>
            </w:r>
          </w:p>
        </w:tc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本人以上所填内容属实，不含虚假成分，谨此确认。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580" w:lineRule="exact"/>
              <w:ind w:left="0" w:left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报考者签名：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年    月    日</w:t>
            </w: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1、请报考者认真阅读说明后如实填写。报考者隐瞒有关情况或者提供虚假材料的，招聘单位有权取消报考者的聘用资格，所造成的一切损失由报考者本人承担。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2、本表用蓝、黑墨水钢笔或圆珠笔如实填写，书写要正规。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3、“学习类别”是指全日制普通高等教育、国民高等教育（国家教育部认可的成人高等院校、自考、函授等）。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4、“专业技术职务”是指专业技术人员的高、中、初级职称（包括专业和资格，如：外科医师、检验技士）。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5、“执业资格”是指执业（助理）医师（包括类别和级别，如：临床执业医师、中医执业助理医师），执业护士等。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、“考生类别”指：应届毕业生、往届毕业生、在职人员。</w:t>
            </w:r>
          </w:p>
        </w:tc>
      </w:tr>
    </w:tbl>
    <w:p/>
    <w:sectPr>
      <w:pgSz w:w="11906" w:h="16838"/>
      <w:pgMar w:top="2098" w:right="1587" w:bottom="1701" w:left="1587" w:header="720" w:footer="720" w:gutter="0"/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11415"/>
    <w:rsid w:val="4E5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2024-10-11T01:45:00Z</dcterms:created>
  <dc:creator>杨国玉</dc:creator>
  <cp:lastModifiedBy>杨国玉</cp:lastModifiedBy>
  <dcterms:modified xsi:type="dcterms:W3CDTF">2024-10-11T01:47:23Z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581B14E0B8E14FFBA3BA0DCD6C3D1C97</vt:lpwstr>
  </property>
</Properties>
</file>