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93954">
      <w:pPr>
        <w:keepNext w:val="0"/>
        <w:keepLines w:val="0"/>
        <w:pageBreakBefore w:val="0"/>
        <w:kinsoku/>
        <w:wordWrap/>
        <w:overflowPunct/>
        <w:topLinePunct w:val="0"/>
        <w:autoSpaceDN/>
        <w:bidi w:val="0"/>
        <w:adjustRightInd w:val="0"/>
        <w:snapToGrid w:val="0"/>
        <w:spacing w:line="560" w:lineRule="exact"/>
        <w:jc w:val="both"/>
        <w:textAlignment w:val="auto"/>
        <w:rPr>
          <w:rFonts w:hint="default"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附件4</w:t>
      </w:r>
    </w:p>
    <w:p w14:paraId="04B5FDE0">
      <w:pPr>
        <w:keepNext w:val="0"/>
        <w:keepLines w:val="0"/>
        <w:pageBreakBefore w:val="0"/>
        <w:kinsoku/>
        <w:wordWrap/>
        <w:overflowPunct/>
        <w:topLinePunct w:val="0"/>
        <w:autoSpaceDN/>
        <w:bidi w:val="0"/>
        <w:adjustRightInd w:val="0"/>
        <w:snapToGrid w:val="0"/>
        <w:spacing w:line="560" w:lineRule="exact"/>
        <w:jc w:val="center"/>
        <w:textAlignment w:val="auto"/>
        <w:rPr>
          <w:rFonts w:hint="default" w:ascii="Times New Roman" w:hAnsi="Times New Roman" w:eastAsia="方正小标宋简体" w:cs="Times New Roman"/>
          <w:color w:val="000000"/>
          <w:sz w:val="44"/>
          <w:szCs w:val="44"/>
          <w:highlight w:val="none"/>
        </w:rPr>
      </w:pPr>
    </w:p>
    <w:p w14:paraId="30C3D3CD">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凤凰县高层次人才引育考核管理办法（试行）</w:t>
      </w:r>
    </w:p>
    <w:p w14:paraId="556F5D09">
      <w:pPr>
        <w:keepNext w:val="0"/>
        <w:keepLines w:val="0"/>
        <w:pageBreakBefore w:val="0"/>
        <w:widowControl w:val="0"/>
        <w:kinsoku/>
        <w:wordWrap/>
        <w:overflowPunct/>
        <w:topLinePunct w:val="0"/>
        <w:autoSpaceDE/>
        <w:autoSpaceDN/>
        <w:bidi w:val="0"/>
        <w:adjustRightInd/>
        <w:snapToGrid/>
        <w:spacing w:after="157" w:afterLines="50" w:line="6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（节选）</w:t>
      </w:r>
    </w:p>
    <w:p w14:paraId="3CE53501">
      <w:pPr>
        <w:keepNext w:val="0"/>
        <w:keepLines w:val="0"/>
        <w:pageBreakBefore w:val="0"/>
        <w:kinsoku/>
        <w:wordWrap/>
        <w:overflowPunct/>
        <w:topLinePunct w:val="0"/>
        <w:autoSpaceDN/>
        <w:bidi w:val="0"/>
        <w:adjustRightInd w:val="0"/>
        <w:spacing w:line="560" w:lineRule="exact"/>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202</w:t>
      </w: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8</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19</w:t>
      </w:r>
      <w:r>
        <w:rPr>
          <w:rFonts w:hint="eastAsia" w:ascii="楷体_GB2312" w:hAnsi="楷体_GB2312" w:eastAsia="楷体_GB2312" w:cs="楷体_GB2312"/>
          <w:sz w:val="32"/>
          <w:szCs w:val="32"/>
        </w:rPr>
        <w:t>日</w:t>
      </w:r>
      <w:r>
        <w:rPr>
          <w:rFonts w:hint="eastAsia" w:ascii="楷体_GB2312" w:hAnsi="楷体_GB2312" w:eastAsia="楷体_GB2312" w:cs="楷体_GB2312"/>
          <w:sz w:val="32"/>
          <w:szCs w:val="32"/>
          <w:lang w:val="en-US" w:eastAsia="zh-CN"/>
        </w:rPr>
        <w:t>印发</w:t>
      </w:r>
      <w:r>
        <w:rPr>
          <w:rFonts w:hint="eastAsia" w:ascii="楷体_GB2312" w:hAnsi="楷体_GB2312" w:eastAsia="楷体_GB2312" w:cs="楷体_GB2312"/>
          <w:sz w:val="32"/>
          <w:szCs w:val="32"/>
          <w:lang w:eastAsia="zh-CN"/>
        </w:rPr>
        <w:t>）</w:t>
      </w:r>
    </w:p>
    <w:p w14:paraId="202FA8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小标宋简体" w:hAnsi="方正小标宋简体" w:eastAsia="方正小标宋简体" w:cs="方正小标宋简体"/>
          <w:sz w:val="44"/>
          <w:szCs w:val="44"/>
          <w:lang w:val="en-US" w:eastAsia="zh-CN"/>
        </w:rPr>
      </w:pPr>
      <w:r>
        <w:rPr>
          <w:rFonts w:hint="eastAsia" w:ascii="Times New Roman" w:hAnsi="Times New Roman" w:eastAsia="仿宋_GB2312" w:cs="Times New Roman"/>
          <w:color w:val="000000"/>
          <w:sz w:val="32"/>
          <w:szCs w:val="32"/>
          <w:highlight w:val="none"/>
          <w:lang w:val="en-US" w:eastAsia="zh-CN"/>
        </w:rPr>
        <w:t>......</w:t>
      </w:r>
    </w:p>
    <w:p w14:paraId="37FC83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第三条</w:t>
      </w:r>
      <w:r>
        <w:rPr>
          <w:rFonts w:hint="eastAsia" w:ascii="黑体" w:hAnsi="黑体" w:eastAsia="黑体" w:cs="黑体"/>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本办法适用于全县党政群机关（含参照公务员法管理单位）、事业单位全职引进的高层次人才。引进的高层次人才在县的最低服务期一般为5年（引进教育部直属师范大学公费师范毕业生最低服务期为6年）。</w:t>
      </w:r>
    </w:p>
    <w:p w14:paraId="334FE0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小标宋简体" w:hAnsi="方正小标宋简体" w:eastAsia="方正小标宋简体" w:cs="方正小标宋简体"/>
          <w:sz w:val="44"/>
          <w:szCs w:val="44"/>
          <w:lang w:val="en-US" w:eastAsia="zh-CN"/>
        </w:rPr>
      </w:pPr>
      <w:r>
        <w:rPr>
          <w:rFonts w:hint="eastAsia" w:ascii="Times New Roman" w:hAnsi="Times New Roman" w:eastAsia="仿宋_GB2312" w:cs="Times New Roman"/>
          <w:color w:val="000000"/>
          <w:sz w:val="32"/>
          <w:szCs w:val="32"/>
          <w:highlight w:val="none"/>
          <w:lang w:val="en-US" w:eastAsia="zh-CN"/>
        </w:rPr>
        <w:t>......</w:t>
      </w:r>
    </w:p>
    <w:p w14:paraId="2B19E2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第五条</w:t>
      </w:r>
      <w:r>
        <w:rPr>
          <w:rFonts w:hint="eastAsia" w:ascii="仿宋_GB2312" w:hAnsi="仿宋_GB2312" w:eastAsia="仿宋_GB2312" w:cs="仿宋_GB2312"/>
          <w:b w:val="0"/>
          <w:bCs w:val="0"/>
          <w:color w:val="auto"/>
          <w:sz w:val="32"/>
          <w:szCs w:val="32"/>
          <w:highlight w:val="none"/>
        </w:rPr>
        <w:t xml:space="preserve"> </w:t>
      </w:r>
      <w:r>
        <w:rPr>
          <w:rFonts w:hint="eastAsia"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人才引进对象按层次分为6类：A类为国际顶尖专家；B类为国家级领军人才；C类为省级领军人才；D类为州级领军人才；E类为高级人才；F类为急需紧缺人才，具体分类见附件1。引进外国专家或获得教育部认证的海外（含港澳台地区）高校留学生参照上述标准对应认定。</w:t>
      </w:r>
    </w:p>
    <w:p w14:paraId="0FDD23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rPr>
        <w:t xml:space="preserve">第六条 </w:t>
      </w:r>
      <w:r>
        <w:rPr>
          <w:rFonts w:hint="eastAsia"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引进的高层次人才年龄一般在35周岁以下，E类人才可适当放宽至45周岁以下，D类及以上人才一般不超</w:t>
      </w:r>
      <w:r>
        <w:rPr>
          <w:rFonts w:hint="eastAsia" w:ascii="仿宋_GB2312" w:hAnsi="仿宋" w:eastAsia="仿宋_GB2312"/>
          <w:b w:val="0"/>
          <w:bCs w:val="0"/>
          <w:color w:val="auto"/>
          <w:sz w:val="32"/>
          <w:szCs w:val="32"/>
          <w:highlight w:val="none"/>
          <w:lang w:val="en-US" w:eastAsia="zh-CN"/>
        </w:rPr>
        <w:t>过52周岁，特殊情况一事一议。</w:t>
      </w:r>
    </w:p>
    <w:p w14:paraId="0E3B2ECD">
      <w:pPr>
        <w:pStyle w:val="2"/>
        <w:ind w:left="0" w:leftChars="0" w:firstLine="640" w:firstLineChars="200"/>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w:t>
      </w:r>
    </w:p>
    <w:p w14:paraId="7CE9DAD8">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s="黑体"/>
          <w:b w:val="0"/>
          <w:bCs w:val="0"/>
          <w:color w:val="auto"/>
          <w:sz w:val="32"/>
          <w:szCs w:val="32"/>
          <w:highlight w:val="none"/>
        </w:rPr>
      </w:pPr>
      <w:r>
        <w:rPr>
          <w:rFonts w:hint="eastAsia" w:ascii="方正小标宋简体" w:hAnsi="方正小标宋简体" w:eastAsia="方正小标宋简体" w:cs="方正小标宋简体"/>
          <w:b w:val="0"/>
          <w:bCs w:val="0"/>
          <w:color w:val="auto"/>
          <w:sz w:val="32"/>
          <w:szCs w:val="32"/>
          <w:highlight w:val="none"/>
        </w:rPr>
        <w:t>第</w:t>
      </w:r>
      <w:r>
        <w:rPr>
          <w:rFonts w:hint="eastAsia" w:ascii="方正小标宋简体" w:hAnsi="方正小标宋简体" w:eastAsia="方正小标宋简体" w:cs="方正小标宋简体"/>
          <w:b w:val="0"/>
          <w:bCs w:val="0"/>
          <w:color w:val="auto"/>
          <w:sz w:val="32"/>
          <w:szCs w:val="32"/>
          <w:highlight w:val="none"/>
          <w:lang w:val="en-US" w:eastAsia="zh-CN"/>
        </w:rPr>
        <w:t>四</w:t>
      </w:r>
      <w:r>
        <w:rPr>
          <w:rFonts w:hint="eastAsia" w:ascii="方正小标宋简体" w:hAnsi="方正小标宋简体" w:eastAsia="方正小标宋简体" w:cs="方正小标宋简体"/>
          <w:b w:val="0"/>
          <w:bCs w:val="0"/>
          <w:color w:val="auto"/>
          <w:sz w:val="32"/>
          <w:szCs w:val="32"/>
          <w:highlight w:val="none"/>
        </w:rPr>
        <w:t xml:space="preserve">章 </w:t>
      </w:r>
      <w:r>
        <w:rPr>
          <w:rFonts w:hint="eastAsia" w:ascii="方正小标宋简体" w:hAnsi="方正小标宋简体" w:eastAsia="方正小标宋简体" w:cs="方正小标宋简体"/>
          <w:b w:val="0"/>
          <w:bCs w:val="0"/>
          <w:color w:val="auto"/>
          <w:sz w:val="32"/>
          <w:szCs w:val="32"/>
          <w:highlight w:val="none"/>
          <w:lang w:val="en-US" w:eastAsia="zh-CN"/>
        </w:rPr>
        <w:t xml:space="preserve"> 政策待遇</w:t>
      </w:r>
    </w:p>
    <w:p w14:paraId="2FCDA3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val="en-US" w:eastAsia="zh-CN"/>
        </w:rPr>
        <w:t xml:space="preserve">第十二条 </w:t>
      </w:r>
      <w:r>
        <w:rPr>
          <w:rFonts w:hint="eastAsia" w:ascii="仿宋_GB2312" w:hAnsi="仿宋_GB2312" w:eastAsia="仿宋_GB2312" w:cs="仿宋_GB2312"/>
          <w:b w:val="0"/>
          <w:bCs w:val="0"/>
          <w:color w:val="auto"/>
          <w:sz w:val="32"/>
          <w:szCs w:val="32"/>
          <w:highlight w:val="none"/>
          <w:lang w:val="en-US" w:eastAsia="zh-CN"/>
        </w:rPr>
        <w:t>凤凰县</w:t>
      </w:r>
      <w:r>
        <w:rPr>
          <w:rFonts w:hint="eastAsia" w:ascii="仿宋_GB2312" w:hAnsi="仿宋_GB2312" w:eastAsia="仿宋_GB2312" w:cs="仿宋_GB2312"/>
          <w:b w:val="0"/>
          <w:bCs w:val="0"/>
          <w:color w:val="auto"/>
          <w:sz w:val="32"/>
          <w:szCs w:val="32"/>
          <w:highlight w:val="none"/>
          <w:lang w:eastAsia="zh-CN"/>
        </w:rPr>
        <w:t>高层次人才享有以下相关优惠政策。</w:t>
      </w:r>
    </w:p>
    <w:p w14:paraId="42AF4F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（一）经济待遇（仅引进且尚在服务期内的人才适用）。</w:t>
      </w:r>
    </w:p>
    <w:p w14:paraId="4CC99F31">
      <w:pPr>
        <w:pStyle w:val="2"/>
        <w:ind w:left="0" w:leftChars="0" w:firstLine="640" w:firstLineChars="200"/>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w:t>
      </w:r>
    </w:p>
    <w:p w14:paraId="0B4F7D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lang w:val="en-US" w:eastAsia="zh-CN" w:bidi="ar-SA"/>
        </w:rPr>
        <w:t>2.</w:t>
      </w:r>
      <w:r>
        <w:rPr>
          <w:rFonts w:hint="eastAsia" w:ascii="仿宋_GB2312" w:hAnsi="仿宋_GB2312" w:eastAsia="仿宋_GB2312" w:cs="仿宋_GB2312"/>
          <w:b w:val="0"/>
          <w:bCs w:val="0"/>
          <w:color w:val="auto"/>
          <w:sz w:val="32"/>
          <w:szCs w:val="32"/>
          <w:highlight w:val="none"/>
          <w:lang w:val="en-US" w:eastAsia="zh-CN"/>
        </w:rPr>
        <w:t>非教育类岗位</w:t>
      </w:r>
    </w:p>
    <w:p w14:paraId="67142E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为引进的高层次人才按政策在最低服务期内享受相应标准的生活补助、购房补助，具体标准见附件1。购房补助在服务期满时兑现发放；生活补助按年度进行兑现发放。</w:t>
      </w:r>
    </w:p>
    <w:p w14:paraId="0620A3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医卫类引进的高层次人才可由医院结合实际，提高生活补助，发放人才绩效奖励。</w:t>
      </w:r>
    </w:p>
    <w:p w14:paraId="2231A5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lang w:val="en-US" w:eastAsia="zh-CN" w:bidi="ar-SA"/>
        </w:rPr>
        <w:t>3.</w:t>
      </w:r>
      <w:r>
        <w:rPr>
          <w:rFonts w:hint="eastAsia" w:ascii="仿宋_GB2312" w:hAnsi="仿宋_GB2312" w:eastAsia="仿宋_GB2312" w:cs="仿宋_GB2312"/>
          <w:b w:val="0"/>
          <w:bCs w:val="0"/>
          <w:color w:val="auto"/>
          <w:sz w:val="32"/>
          <w:szCs w:val="32"/>
          <w:highlight w:val="none"/>
          <w:lang w:val="en-US" w:eastAsia="zh-CN"/>
        </w:rPr>
        <w:t>用人单位要为引进的高层次人才提供过渡性租房保障，表现形式可以为高层次人才提供住房或发放过渡性租房补助。A类、B类人才过渡性租房补助原则不低于2000元/月，C类、D类、E类人才过渡性租房补助原则不超过2000元/月，F类人才过渡性租房补助原则不超过1000元/月。过渡性租房补助由各单位在政策内自行研究落实，原则上不低于500元/月。</w:t>
      </w:r>
    </w:p>
    <w:p w14:paraId="59C988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配偶安置。在县工作期间，按照“身份对等、双向选择、统筹调配、适当照顾”的原则，妥善解决配偶就业。配偶属机关（含参照公务员法管理单位）事业单位和国有企业正式工作人员，且愿意来县内工作的，在相关政策范围内按身份同城对等安置。无固定工作的，积极推荐参加湘西州及各县市公务员或企事业单位公开招考（招聘）或推荐到同城企业就业。自谋职业、自主创业的，可向县内人社部门提出自主创业申请，按程序审批后，享受贷款扶持等自主创业的优惠政策。参加职业技能培训和相关职业技能鉴定符合条件的，按有关规定给予职业技能培训补助和鉴定补助。</w:t>
      </w:r>
    </w:p>
    <w:p w14:paraId="6C609B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子女入学。在县工作期间，享受协调保障入学待遇，义务教育阶段可在其工作地或居住地范围内提出入（转）学意愿，教育部门在充分尊重其意愿基础上，统筹协调安排入（转）学，享受本县户籍学生同等待遇。报考县内普通高中时，在同等条件下优先录取。</w:t>
      </w:r>
    </w:p>
    <w:p w14:paraId="101440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（四）健康服务。服务期内，由用人单位每年组织引进的高层次人才进行体检，卫健部门负责建立健康档案，实行跟踪服务。</w:t>
      </w:r>
    </w:p>
    <w:p w14:paraId="743D9B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rPr>
        <w:t>（五）落户政策。在县工作期间，高层次人才可在其工作地或居住地落户，其配偶、未婚子女及父母可随本人迁移户口。各用人单位要按照实际情况安排专人协助办理。</w:t>
      </w:r>
    </w:p>
    <w:p w14:paraId="56D511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（六）</w:t>
      </w:r>
      <w:r>
        <w:rPr>
          <w:rFonts w:hint="eastAsia" w:ascii="仿宋_GB2312" w:hAnsi="仿宋_GB2312" w:eastAsia="仿宋_GB2312" w:cs="仿宋_GB2312"/>
          <w:b w:val="0"/>
          <w:bCs w:val="0"/>
          <w:color w:val="auto"/>
          <w:sz w:val="32"/>
          <w:szCs w:val="32"/>
          <w:highlight w:val="none"/>
          <w:lang w:eastAsia="zh-CN"/>
        </w:rPr>
        <w:t>购房</w:t>
      </w:r>
      <w:r>
        <w:rPr>
          <w:rFonts w:hint="eastAsia" w:ascii="仿宋_GB2312" w:hAnsi="仿宋_GB2312" w:eastAsia="仿宋_GB2312" w:cs="仿宋_GB2312"/>
          <w:b w:val="0"/>
          <w:bCs w:val="0"/>
          <w:color w:val="auto"/>
          <w:sz w:val="32"/>
          <w:szCs w:val="32"/>
          <w:highlight w:val="none"/>
          <w:lang w:val="en-US" w:eastAsia="zh-CN"/>
        </w:rPr>
        <w:t>贷款</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在县工作期间，在县购房，其住房公积金在最高可贷额度基础上再提高10%。引进后五年内首次申请住房公积金贷款的，可享受“可提可贷”政策。</w:t>
      </w:r>
    </w:p>
    <w:p w14:paraId="0863673A">
      <w:pPr>
        <w:pStyle w:val="10"/>
        <w:keepNext w:val="0"/>
        <w:keepLines w:val="0"/>
        <w:pageBreakBefore w:val="0"/>
        <w:widowControl w:val="0"/>
        <w:kinsoku/>
        <w:wordWrap/>
        <w:overflowPunct/>
        <w:topLinePunct w:val="0"/>
        <w:autoSpaceDE/>
        <w:autoSpaceDN/>
        <w:bidi w:val="0"/>
        <w:adjustRightInd/>
        <w:snapToGrid/>
        <w:spacing w:after="0" w:line="560" w:lineRule="exact"/>
        <w:ind w:firstLine="640" w:firstLineChars="200"/>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七）提拔晋升。在县内机关事业单位工作的优秀高层次引进人才在提拔、晋级、使用上优先考虑。从事专业技术工作的，在申报科研项目立项和职称评定等方面给予政策倾斜；在县参与职称评审时可放宽资历、台阶等限制，首次申报职称评定时不受岗位职数限制。鼓励高层次人才晋升职称，提高专业技术能力，服务期内晋升职称的，经济待遇按照晋升后的职称发放。</w:t>
      </w:r>
    </w:p>
    <w:p w14:paraId="73ED48D3">
      <w:pPr>
        <w:pStyle w:val="10"/>
        <w:keepNext w:val="0"/>
        <w:keepLines w:val="0"/>
        <w:pageBreakBefore w:val="0"/>
        <w:widowControl w:val="0"/>
        <w:kinsoku/>
        <w:wordWrap/>
        <w:overflowPunct/>
        <w:topLinePunct w:val="0"/>
        <w:autoSpaceDE/>
        <w:autoSpaceDN/>
        <w:bidi w:val="0"/>
        <w:adjustRightInd/>
        <w:snapToGrid/>
        <w:spacing w:after="0" w:line="560" w:lineRule="exact"/>
        <w:ind w:firstLine="640" w:firstLineChars="200"/>
        <w:rPr>
          <w:rFonts w:hint="eastAsia" w:ascii="黑体" w:hAnsi="黑体" w:eastAsia="黑体" w:cs="黑体"/>
          <w:b w:val="0"/>
          <w:bCs w:val="0"/>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（八）金融扶持。在县工作期间，高层次人才可享受“人才投”“人才贷”“人才保”等金融服务支持。</w:t>
      </w:r>
    </w:p>
    <w:p w14:paraId="336CD79C">
      <w:pPr>
        <w:pStyle w:val="2"/>
        <w:ind w:left="0" w:leftChars="0" w:firstLine="640" w:firstLineChars="200"/>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w:t>
      </w:r>
    </w:p>
    <w:p w14:paraId="06196445">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ascii="黑体" w:hAnsi="黑体" w:eastAsia="黑体"/>
          <w:b w:val="0"/>
          <w:bCs w:val="0"/>
          <w:color w:val="auto"/>
          <w:sz w:val="32"/>
          <w:szCs w:val="32"/>
          <w:highlight w:val="none"/>
        </w:rPr>
      </w:pPr>
      <w:r>
        <w:rPr>
          <w:rFonts w:hint="eastAsia" w:ascii="方正小标宋简体" w:hAnsi="方正小标宋简体" w:eastAsia="方正小标宋简体" w:cs="方正小标宋简体"/>
          <w:b w:val="0"/>
          <w:bCs w:val="0"/>
          <w:color w:val="auto"/>
          <w:sz w:val="32"/>
          <w:szCs w:val="32"/>
          <w:highlight w:val="none"/>
        </w:rPr>
        <w:t>第</w:t>
      </w:r>
      <w:r>
        <w:rPr>
          <w:rFonts w:hint="eastAsia" w:ascii="方正小标宋简体" w:hAnsi="方正小标宋简体" w:eastAsia="方正小标宋简体" w:cs="方正小标宋简体"/>
          <w:b w:val="0"/>
          <w:bCs w:val="0"/>
          <w:color w:val="auto"/>
          <w:sz w:val="32"/>
          <w:szCs w:val="32"/>
          <w:highlight w:val="none"/>
          <w:lang w:val="en-US" w:eastAsia="zh-CN"/>
        </w:rPr>
        <w:t>七</w:t>
      </w:r>
      <w:r>
        <w:rPr>
          <w:rFonts w:hint="eastAsia" w:ascii="方正小标宋简体" w:hAnsi="方正小标宋简体" w:eastAsia="方正小标宋简体" w:cs="方正小标宋简体"/>
          <w:b w:val="0"/>
          <w:bCs w:val="0"/>
          <w:color w:val="auto"/>
          <w:sz w:val="32"/>
          <w:szCs w:val="32"/>
          <w:highlight w:val="none"/>
        </w:rPr>
        <w:t>章  附</w:t>
      </w:r>
      <w:r>
        <w:rPr>
          <w:rFonts w:hint="eastAsia" w:ascii="方正小标宋简体" w:hAnsi="方正小标宋简体" w:eastAsia="方正小标宋简体" w:cs="方正小标宋简体"/>
          <w:b w:val="0"/>
          <w:bCs w:val="0"/>
          <w:color w:val="auto"/>
          <w:sz w:val="32"/>
          <w:szCs w:val="32"/>
          <w:highlight w:val="none"/>
          <w:lang w:val="en-US" w:eastAsia="zh-CN"/>
        </w:rPr>
        <w:t xml:space="preserve">  </w:t>
      </w:r>
      <w:r>
        <w:rPr>
          <w:rFonts w:hint="eastAsia" w:ascii="方正小标宋简体" w:hAnsi="方正小标宋简体" w:eastAsia="方正小标宋简体" w:cs="方正小标宋简体"/>
          <w:b w:val="0"/>
          <w:bCs w:val="0"/>
          <w:color w:val="auto"/>
          <w:sz w:val="32"/>
          <w:szCs w:val="32"/>
          <w:highlight w:val="none"/>
        </w:rPr>
        <w:t>则</w:t>
      </w:r>
    </w:p>
    <w:p w14:paraId="1018F0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二十二</w:t>
      </w:r>
      <w:r>
        <w:rPr>
          <w:rFonts w:hint="eastAsia" w:ascii="黑体" w:hAnsi="黑体" w:eastAsia="黑体" w:cs="黑体"/>
          <w:b w:val="0"/>
          <w:bCs w:val="0"/>
          <w:color w:val="auto"/>
          <w:sz w:val="32"/>
          <w:szCs w:val="32"/>
          <w:highlight w:val="none"/>
        </w:rPr>
        <w:t>条</w:t>
      </w:r>
      <w:r>
        <w:rPr>
          <w:rFonts w:hint="eastAsia" w:ascii="黑体" w:hAnsi="黑体" w:eastAsia="黑体"/>
          <w:b w:val="0"/>
          <w:bCs w:val="0"/>
          <w:color w:val="auto"/>
          <w:sz w:val="32"/>
          <w:szCs w:val="32"/>
          <w:highlight w:val="none"/>
          <w:lang w:val="en-US" w:eastAsia="zh-CN"/>
        </w:rPr>
        <w:t xml:space="preserve"> </w:t>
      </w:r>
      <w:r>
        <w:rPr>
          <w:rFonts w:hint="eastAsia" w:ascii="仿宋_GB2312" w:hAnsi="仿宋" w:eastAsia="仿宋_GB2312"/>
          <w:b w:val="0"/>
          <w:bCs w:val="0"/>
          <w:color w:val="auto"/>
          <w:sz w:val="32"/>
          <w:szCs w:val="32"/>
          <w:highlight w:val="none"/>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本办法自印发之日起实施，此前有关人才政策规定与本办法不一致的，以本办法为准。县属国有企业可参照执行。本办法印发前引进的高层次及急需紧缺人才，按原政策享受待遇。</w:t>
      </w:r>
    </w:p>
    <w:p w14:paraId="55E7AE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b w:val="0"/>
          <w:bCs w:val="0"/>
          <w:color w:val="auto"/>
          <w:sz w:val="32"/>
          <w:szCs w:val="32"/>
          <w:highlight w:val="none"/>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二十三</w:t>
      </w:r>
      <w:r>
        <w:rPr>
          <w:rFonts w:hint="eastAsia" w:ascii="黑体" w:hAnsi="黑体" w:eastAsia="黑体" w:cs="黑体"/>
          <w:b w:val="0"/>
          <w:bCs w:val="0"/>
          <w:color w:val="auto"/>
          <w:sz w:val="32"/>
          <w:szCs w:val="32"/>
          <w:highlight w:val="none"/>
        </w:rPr>
        <w:t>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黑体" w:hAnsi="黑体" w:eastAsia="黑体"/>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本办法由县委人才办负责解释。</w:t>
      </w:r>
    </w:p>
    <w:p w14:paraId="069CC31B">
      <w:pPr>
        <w:pStyle w:val="5"/>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 w:eastAsia="仿宋_GB2312"/>
          <w:b w:val="0"/>
          <w:bCs w:val="0"/>
          <w:color w:val="auto"/>
          <w:sz w:val="32"/>
          <w:szCs w:val="32"/>
          <w:highlight w:val="none"/>
        </w:rPr>
      </w:pPr>
    </w:p>
    <w:p w14:paraId="34716758">
      <w:pPr>
        <w:keepNext w:val="0"/>
        <w:keepLines w:val="0"/>
        <w:pageBreakBefore w:val="0"/>
        <w:widowControl w:val="0"/>
        <w:kinsoku/>
        <w:wordWrap/>
        <w:overflowPunct/>
        <w:topLinePunct w:val="0"/>
        <w:autoSpaceDE/>
        <w:autoSpaceDN/>
        <w:bidi w:val="0"/>
        <w:adjustRightInd/>
        <w:snapToGrid/>
        <w:spacing w:line="560" w:lineRule="exact"/>
        <w:ind w:firstLine="596" w:firstLineChars="200"/>
        <w:jc w:val="both"/>
        <w:textAlignment w:val="auto"/>
        <w:rPr>
          <w:rFonts w:hint="eastAsia" w:ascii="仿宋_GB2312" w:hAnsi="仿宋_GB2312" w:eastAsia="仿宋_GB2312" w:cs="仿宋_GB2312"/>
          <w:b w:val="0"/>
          <w:bCs w:val="0"/>
          <w:color w:val="auto"/>
          <w:spacing w:val="-11"/>
          <w:kern w:val="2"/>
          <w:sz w:val="32"/>
          <w:szCs w:val="32"/>
          <w:highlight w:val="none"/>
          <w:lang w:val="en-US" w:eastAsia="zh-CN" w:bidi="ar-SA"/>
        </w:rPr>
      </w:pPr>
      <w:r>
        <w:rPr>
          <w:rFonts w:hint="eastAsia" w:ascii="仿宋_GB2312" w:hAnsi="仿宋_GB2312" w:eastAsia="仿宋_GB2312" w:cs="仿宋_GB2312"/>
          <w:b w:val="0"/>
          <w:bCs w:val="0"/>
          <w:color w:val="auto"/>
          <w:spacing w:val="-11"/>
          <w:kern w:val="2"/>
          <w:sz w:val="32"/>
          <w:szCs w:val="32"/>
          <w:highlight w:val="none"/>
          <w:lang w:val="en-US" w:eastAsia="zh-CN" w:bidi="ar-SA"/>
        </w:rPr>
        <w:t>附件：1.凤凰县人才引进分类目录及相关待遇（非教育类）</w:t>
      </w:r>
    </w:p>
    <w:p w14:paraId="0AB9A22B">
      <w:pPr>
        <w:pStyle w:val="2"/>
        <w:ind w:left="0" w:leftChars="0" w:firstLine="640" w:firstLineChars="200"/>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w:t>
      </w:r>
    </w:p>
    <w:p w14:paraId="5D10ABFE">
      <w:pPr>
        <w:rPr>
          <w:rFonts w:hint="eastAsia"/>
          <w:lang w:val="en-US" w:eastAsia="zh-CN"/>
        </w:rPr>
      </w:pPr>
    </w:p>
    <w:p w14:paraId="103336B7">
      <w:pPr>
        <w:rPr>
          <w:rFonts w:hint="eastAsia"/>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14:paraId="58B593FB">
      <w:pPr>
        <w:pStyle w:val="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rPr>
          <w:rFonts w:hint="eastAsia" w:ascii="黑体" w:hAnsi="黑体" w:eastAsia="黑体" w:cs="黑体"/>
          <w:b w:val="0"/>
          <w:bCs w:val="0"/>
          <w:color w:val="auto"/>
          <w:sz w:val="32"/>
          <w:szCs w:val="40"/>
          <w:highlight w:val="none"/>
          <w:lang w:val="en-US" w:eastAsia="zh-CN"/>
        </w:rPr>
      </w:pPr>
      <w:r>
        <w:rPr>
          <w:rFonts w:hint="eastAsia" w:ascii="黑体" w:hAnsi="黑体" w:eastAsia="黑体" w:cs="黑体"/>
          <w:b w:val="0"/>
          <w:bCs w:val="0"/>
          <w:color w:val="auto"/>
          <w:sz w:val="32"/>
          <w:szCs w:val="40"/>
          <w:highlight w:val="none"/>
          <w:lang w:val="en-US" w:eastAsia="zh-CN"/>
        </w:rPr>
        <w:t>附件1</w:t>
      </w:r>
    </w:p>
    <w:p w14:paraId="15054FFF">
      <w:pPr>
        <w:pStyle w:val="4"/>
        <w:keepNext w:val="0"/>
        <w:keepLines w:val="0"/>
        <w:pageBreakBefore w:val="0"/>
        <w:widowControl w:val="0"/>
        <w:kinsoku/>
        <w:wordWrap/>
        <w:overflowPunct/>
        <w:topLinePunct w:val="0"/>
        <w:autoSpaceDE/>
        <w:autoSpaceDN/>
        <w:bidi w:val="0"/>
        <w:adjustRightInd/>
        <w:snapToGrid/>
        <w:spacing w:before="313" w:beforeLines="100" w:after="0" w:line="660" w:lineRule="exact"/>
        <w:ind w:left="0" w:leftChars="0" w:firstLine="0" w:firstLineChars="0"/>
        <w:textAlignment w:val="auto"/>
        <w:rPr>
          <w:rFonts w:hint="eastAsia"/>
          <w:b w:val="0"/>
          <w:bCs w:val="0"/>
          <w:color w:val="auto"/>
          <w:sz w:val="28"/>
          <w:szCs w:val="28"/>
          <w:highlight w:val="none"/>
          <w:lang w:val="en-US" w:eastAsia="zh-CN"/>
        </w:rPr>
      </w:pPr>
      <w:r>
        <w:rPr>
          <w:rFonts w:hint="eastAsia" w:ascii="方正小标宋简体" w:hAnsi="方正小标宋简体" w:eastAsia="方正小标宋简体" w:cs="方正小标宋简体"/>
          <w:b w:val="0"/>
          <w:bCs w:val="0"/>
          <w:color w:val="auto"/>
          <w:spacing w:val="-23"/>
          <w:sz w:val="44"/>
          <w:szCs w:val="44"/>
          <w:highlight w:val="none"/>
          <w:lang w:val="en-US" w:eastAsia="zh-CN"/>
        </w:rPr>
        <w:t>凤凰县人才引进分类目录及相关待遇（非教育类）</w:t>
      </w:r>
    </w:p>
    <w:tbl>
      <w:tblPr>
        <w:tblStyle w:val="8"/>
        <w:tblpPr w:leftFromText="180" w:rightFromText="180" w:vertAnchor="text" w:horzAnchor="page" w:tblpX="1024" w:tblpY="776"/>
        <w:tblOverlap w:val="never"/>
        <w:tblW w:w="10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57"/>
        <w:gridCol w:w="5160"/>
        <w:gridCol w:w="1101"/>
        <w:gridCol w:w="1113"/>
        <w:gridCol w:w="1331"/>
      </w:tblGrid>
      <w:tr w14:paraId="52864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675" w:type="dxa"/>
            <w:noWrap w:val="0"/>
            <w:vAlign w:val="center"/>
          </w:tcPr>
          <w:p w14:paraId="176BCEF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黑体" w:hAnsi="黑体" w:eastAsia="黑体" w:cs="黑体"/>
                <w:b w:val="0"/>
                <w:bCs w:val="0"/>
                <w:color w:val="auto"/>
                <w:sz w:val="22"/>
                <w:szCs w:val="22"/>
                <w:highlight w:val="none"/>
                <w:vertAlign w:val="baseline"/>
                <w:lang w:val="en-US" w:eastAsia="zh-CN"/>
              </w:rPr>
            </w:pPr>
            <w:r>
              <w:rPr>
                <w:rFonts w:hint="eastAsia" w:ascii="黑体" w:hAnsi="黑体" w:eastAsia="黑体" w:cs="黑体"/>
                <w:b w:val="0"/>
                <w:bCs w:val="0"/>
                <w:color w:val="auto"/>
                <w:sz w:val="22"/>
                <w:szCs w:val="22"/>
                <w:highlight w:val="none"/>
                <w:vertAlign w:val="baseline"/>
                <w:lang w:val="en-US" w:eastAsia="zh-CN"/>
              </w:rPr>
              <w:t>类别</w:t>
            </w:r>
          </w:p>
        </w:tc>
        <w:tc>
          <w:tcPr>
            <w:tcW w:w="5917" w:type="dxa"/>
            <w:gridSpan w:val="2"/>
            <w:noWrap w:val="0"/>
            <w:vAlign w:val="center"/>
          </w:tcPr>
          <w:p w14:paraId="74FF310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黑体" w:hAnsi="黑体" w:eastAsia="黑体" w:cs="黑体"/>
                <w:b w:val="0"/>
                <w:bCs w:val="0"/>
                <w:color w:val="auto"/>
                <w:sz w:val="22"/>
                <w:szCs w:val="22"/>
                <w:highlight w:val="none"/>
                <w:vertAlign w:val="baseline"/>
                <w:lang w:val="en-US" w:eastAsia="zh-CN"/>
              </w:rPr>
            </w:pPr>
            <w:r>
              <w:rPr>
                <w:rFonts w:hint="eastAsia" w:ascii="黑体" w:hAnsi="黑体" w:eastAsia="黑体" w:cs="黑体"/>
                <w:b w:val="0"/>
                <w:bCs w:val="0"/>
                <w:color w:val="auto"/>
                <w:sz w:val="22"/>
                <w:szCs w:val="22"/>
                <w:highlight w:val="none"/>
                <w:vertAlign w:val="baseline"/>
                <w:lang w:val="en-US" w:eastAsia="zh-CN"/>
              </w:rPr>
              <w:t>认定条件</w:t>
            </w:r>
          </w:p>
        </w:tc>
        <w:tc>
          <w:tcPr>
            <w:tcW w:w="1101" w:type="dxa"/>
            <w:noWrap w:val="0"/>
            <w:vAlign w:val="center"/>
          </w:tcPr>
          <w:p w14:paraId="2E79780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黑体" w:hAnsi="黑体" w:eastAsia="黑体" w:cs="黑体"/>
                <w:b w:val="0"/>
                <w:bCs w:val="0"/>
                <w:color w:val="auto"/>
                <w:sz w:val="22"/>
                <w:szCs w:val="22"/>
                <w:highlight w:val="none"/>
                <w:vertAlign w:val="baseline"/>
                <w:lang w:val="en-US" w:eastAsia="zh-CN"/>
              </w:rPr>
            </w:pPr>
            <w:r>
              <w:rPr>
                <w:rFonts w:hint="eastAsia" w:ascii="黑体" w:hAnsi="黑体" w:eastAsia="黑体" w:cs="黑体"/>
                <w:b w:val="0"/>
                <w:bCs w:val="0"/>
                <w:color w:val="auto"/>
                <w:sz w:val="22"/>
                <w:szCs w:val="22"/>
                <w:highlight w:val="none"/>
                <w:vertAlign w:val="baseline"/>
                <w:lang w:val="en-US" w:eastAsia="zh-CN"/>
              </w:rPr>
              <w:t>购房补助</w:t>
            </w:r>
          </w:p>
        </w:tc>
        <w:tc>
          <w:tcPr>
            <w:tcW w:w="1113" w:type="dxa"/>
            <w:noWrap w:val="0"/>
            <w:vAlign w:val="center"/>
          </w:tcPr>
          <w:p w14:paraId="43ABDD0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黑体" w:hAnsi="黑体" w:eastAsia="黑体" w:cs="黑体"/>
                <w:b w:val="0"/>
                <w:bCs w:val="0"/>
                <w:color w:val="auto"/>
                <w:sz w:val="22"/>
                <w:szCs w:val="22"/>
                <w:highlight w:val="none"/>
                <w:vertAlign w:val="baseline"/>
                <w:lang w:val="en-US" w:eastAsia="zh-CN"/>
              </w:rPr>
            </w:pPr>
            <w:r>
              <w:rPr>
                <w:rFonts w:hint="eastAsia" w:ascii="黑体" w:hAnsi="黑体" w:eastAsia="黑体" w:cs="黑体"/>
                <w:b w:val="0"/>
                <w:bCs w:val="0"/>
                <w:color w:val="auto"/>
                <w:sz w:val="22"/>
                <w:szCs w:val="22"/>
                <w:highlight w:val="none"/>
                <w:vertAlign w:val="baseline"/>
                <w:lang w:val="en-US" w:eastAsia="zh-CN"/>
              </w:rPr>
              <w:t>生活补助</w:t>
            </w:r>
          </w:p>
        </w:tc>
        <w:tc>
          <w:tcPr>
            <w:tcW w:w="1331" w:type="dxa"/>
            <w:noWrap w:val="0"/>
            <w:vAlign w:val="center"/>
          </w:tcPr>
          <w:p w14:paraId="3EE75AF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黑体" w:hAnsi="黑体" w:eastAsia="黑体" w:cs="黑体"/>
                <w:b w:val="0"/>
                <w:bCs w:val="0"/>
                <w:color w:val="auto"/>
                <w:sz w:val="22"/>
                <w:szCs w:val="22"/>
                <w:highlight w:val="none"/>
                <w:vertAlign w:val="baseline"/>
                <w:lang w:val="en-US" w:eastAsia="zh-CN"/>
              </w:rPr>
            </w:pPr>
            <w:r>
              <w:rPr>
                <w:rFonts w:hint="eastAsia" w:ascii="黑体" w:hAnsi="黑体" w:eastAsia="黑体" w:cs="黑体"/>
                <w:b w:val="0"/>
                <w:bCs w:val="0"/>
                <w:color w:val="auto"/>
                <w:sz w:val="22"/>
                <w:szCs w:val="22"/>
                <w:highlight w:val="none"/>
                <w:vertAlign w:val="baseline"/>
                <w:lang w:val="en-US" w:eastAsia="zh-CN"/>
              </w:rPr>
              <w:t>过渡性租房补助</w:t>
            </w:r>
          </w:p>
        </w:tc>
      </w:tr>
      <w:tr w14:paraId="6C933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9" w:hRule="atLeast"/>
        </w:trPr>
        <w:tc>
          <w:tcPr>
            <w:tcW w:w="675" w:type="dxa"/>
            <w:noWrap w:val="0"/>
            <w:vAlign w:val="center"/>
          </w:tcPr>
          <w:p w14:paraId="775FAB6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val="0"/>
                <w:bCs w:val="0"/>
                <w:color w:val="auto"/>
                <w:sz w:val="28"/>
                <w:szCs w:val="28"/>
                <w:highlight w:val="none"/>
                <w:vertAlign w:val="baseline"/>
                <w:lang w:val="en-US" w:eastAsia="zh-CN"/>
              </w:rPr>
            </w:pPr>
            <w:r>
              <w:rPr>
                <w:rFonts w:hint="eastAsia" w:ascii="黑体" w:hAnsi="黑体" w:eastAsia="黑体" w:cs="黑体"/>
                <w:b w:val="0"/>
                <w:bCs w:val="0"/>
                <w:color w:val="auto"/>
                <w:sz w:val="28"/>
                <w:szCs w:val="28"/>
                <w:highlight w:val="none"/>
                <w:vertAlign w:val="baseline"/>
                <w:lang w:val="en-US" w:eastAsia="zh-CN"/>
              </w:rPr>
              <w:t>A类</w:t>
            </w:r>
          </w:p>
        </w:tc>
        <w:tc>
          <w:tcPr>
            <w:tcW w:w="5917" w:type="dxa"/>
            <w:gridSpan w:val="2"/>
            <w:noWrap w:val="0"/>
            <w:vAlign w:val="center"/>
          </w:tcPr>
          <w:p w14:paraId="108FE0A9">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b w:val="0"/>
                <w:bCs w:val="0"/>
                <w:color w:val="auto"/>
                <w:sz w:val="22"/>
                <w:szCs w:val="22"/>
                <w:highlight w:val="none"/>
                <w:vertAlign w:val="baseline"/>
                <w:lang w:val="en-US" w:eastAsia="zh-CN"/>
              </w:rPr>
            </w:pPr>
            <w:r>
              <w:rPr>
                <w:rFonts w:hint="eastAsia" w:ascii="仿宋_GB2312" w:hAnsi="仿宋_GB2312" w:eastAsia="仿宋_GB2312" w:cs="仿宋_GB2312"/>
                <w:b w:val="0"/>
                <w:bCs w:val="0"/>
                <w:color w:val="auto"/>
                <w:sz w:val="22"/>
                <w:szCs w:val="22"/>
                <w:highlight w:val="none"/>
                <w:lang w:val="en-US" w:eastAsia="zh-CN"/>
              </w:rPr>
              <w:t>国际顶尖专家。主要包括：1.诺贝尔奖、中国国家最高科学技术奖、图灵奖等国际知名科学技术奖项获得者；2.中国科学院院士、中国工程院院士；3.国家自然科学奖、国家科技发明奖、国家科学技术进步奖一等奖前3名获得者；4.世界500强企业总部首席执行官、首席运营官、首席技术官；5.其他相当于上述层次的顶尖人才。</w:t>
            </w:r>
          </w:p>
        </w:tc>
        <w:tc>
          <w:tcPr>
            <w:tcW w:w="1101" w:type="dxa"/>
            <w:noWrap w:val="0"/>
            <w:vAlign w:val="center"/>
          </w:tcPr>
          <w:p w14:paraId="12C24E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val="0"/>
                <w:color w:val="auto"/>
                <w:sz w:val="22"/>
                <w:szCs w:val="22"/>
                <w:highlight w:val="none"/>
                <w:vertAlign w:val="baseline"/>
                <w:lang w:val="en-US" w:eastAsia="zh-CN"/>
              </w:rPr>
            </w:pPr>
            <w:r>
              <w:rPr>
                <w:rFonts w:hint="eastAsia" w:ascii="仿宋_GB2312" w:hAnsi="仿宋_GB2312" w:eastAsia="仿宋_GB2312" w:cs="仿宋_GB2312"/>
                <w:b w:val="0"/>
                <w:bCs w:val="0"/>
                <w:color w:val="auto"/>
                <w:sz w:val="22"/>
                <w:szCs w:val="22"/>
                <w:highlight w:val="none"/>
                <w:vertAlign w:val="baseline"/>
                <w:lang w:val="en-US" w:eastAsia="zh-CN"/>
              </w:rPr>
              <w:t>不低于50万元，一事一议，特事特办</w:t>
            </w:r>
          </w:p>
        </w:tc>
        <w:tc>
          <w:tcPr>
            <w:tcW w:w="1113" w:type="dxa"/>
            <w:noWrap w:val="0"/>
            <w:vAlign w:val="center"/>
          </w:tcPr>
          <w:p w14:paraId="37A7E71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val="0"/>
                <w:color w:val="auto"/>
                <w:sz w:val="22"/>
                <w:szCs w:val="22"/>
                <w:highlight w:val="none"/>
                <w:vertAlign w:val="baseline"/>
                <w:lang w:val="en-US" w:eastAsia="zh-CN"/>
              </w:rPr>
            </w:pPr>
            <w:r>
              <w:rPr>
                <w:rFonts w:hint="eastAsia" w:ascii="仿宋_GB2312" w:hAnsi="仿宋_GB2312" w:eastAsia="仿宋_GB2312" w:cs="仿宋_GB2312"/>
                <w:b w:val="0"/>
                <w:bCs w:val="0"/>
                <w:color w:val="auto"/>
                <w:sz w:val="22"/>
                <w:szCs w:val="22"/>
                <w:highlight w:val="none"/>
                <w:vertAlign w:val="baseline"/>
                <w:lang w:val="en-US" w:eastAsia="zh-CN"/>
              </w:rPr>
              <w:t>不低于100万元，一事一议，特事特办</w:t>
            </w:r>
          </w:p>
        </w:tc>
        <w:tc>
          <w:tcPr>
            <w:tcW w:w="1331" w:type="dxa"/>
            <w:noWrap w:val="0"/>
            <w:vAlign w:val="center"/>
          </w:tcPr>
          <w:p w14:paraId="434724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val="0"/>
                <w:color w:val="auto"/>
                <w:sz w:val="22"/>
                <w:szCs w:val="22"/>
                <w:highlight w:val="none"/>
                <w:vertAlign w:val="baseline"/>
                <w:lang w:val="en-US" w:eastAsia="zh-CN"/>
              </w:rPr>
            </w:pPr>
            <w:r>
              <w:rPr>
                <w:rFonts w:hint="eastAsia" w:ascii="仿宋_GB2312" w:hAnsi="仿宋_GB2312" w:eastAsia="仿宋_GB2312" w:cs="仿宋_GB2312"/>
                <w:b w:val="0"/>
                <w:bCs w:val="0"/>
                <w:color w:val="auto"/>
                <w:sz w:val="22"/>
                <w:szCs w:val="22"/>
                <w:highlight w:val="none"/>
                <w:vertAlign w:val="baseline"/>
                <w:lang w:val="en-US" w:eastAsia="zh-CN"/>
              </w:rPr>
              <w:t>不低于2000元</w:t>
            </w:r>
          </w:p>
          <w:p w14:paraId="4E84A3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val="0"/>
                <w:color w:val="auto"/>
                <w:sz w:val="22"/>
                <w:szCs w:val="22"/>
                <w:highlight w:val="none"/>
                <w:vertAlign w:val="baseline"/>
                <w:lang w:val="en-US" w:eastAsia="zh-CN"/>
              </w:rPr>
            </w:pPr>
            <w:r>
              <w:rPr>
                <w:rFonts w:hint="eastAsia" w:ascii="仿宋_GB2312" w:hAnsi="仿宋_GB2312" w:eastAsia="仿宋_GB2312" w:cs="仿宋_GB2312"/>
                <w:b w:val="0"/>
                <w:bCs w:val="0"/>
                <w:color w:val="auto"/>
                <w:sz w:val="22"/>
                <w:szCs w:val="22"/>
                <w:highlight w:val="none"/>
                <w:vertAlign w:val="baseline"/>
                <w:lang w:val="en-US" w:eastAsia="zh-CN"/>
              </w:rPr>
              <w:t>每月</w:t>
            </w:r>
          </w:p>
        </w:tc>
      </w:tr>
      <w:tr w14:paraId="667C8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0" w:hRule="atLeast"/>
        </w:trPr>
        <w:tc>
          <w:tcPr>
            <w:tcW w:w="675" w:type="dxa"/>
            <w:noWrap w:val="0"/>
            <w:vAlign w:val="center"/>
          </w:tcPr>
          <w:p w14:paraId="3BE475E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val="0"/>
                <w:bCs w:val="0"/>
                <w:color w:val="auto"/>
                <w:sz w:val="28"/>
                <w:szCs w:val="28"/>
                <w:highlight w:val="none"/>
                <w:vertAlign w:val="baseline"/>
                <w:lang w:val="en-US" w:eastAsia="zh-CN"/>
              </w:rPr>
            </w:pPr>
            <w:r>
              <w:rPr>
                <w:rFonts w:hint="eastAsia" w:ascii="黑体" w:hAnsi="黑体" w:eastAsia="黑体" w:cs="黑体"/>
                <w:b w:val="0"/>
                <w:bCs w:val="0"/>
                <w:color w:val="auto"/>
                <w:sz w:val="28"/>
                <w:szCs w:val="28"/>
                <w:highlight w:val="none"/>
                <w:vertAlign w:val="baseline"/>
                <w:lang w:val="en-US" w:eastAsia="zh-CN"/>
              </w:rPr>
              <w:t>B类</w:t>
            </w:r>
          </w:p>
        </w:tc>
        <w:tc>
          <w:tcPr>
            <w:tcW w:w="5917" w:type="dxa"/>
            <w:gridSpan w:val="2"/>
            <w:noWrap w:val="0"/>
            <w:vAlign w:val="center"/>
          </w:tcPr>
          <w:p w14:paraId="7C62E408">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仿宋_GB2312" w:eastAsia="仿宋_GB2312" w:cs="仿宋_GB2312"/>
                <w:b w:val="0"/>
                <w:bCs w:val="0"/>
                <w:color w:val="auto"/>
                <w:sz w:val="22"/>
                <w:szCs w:val="22"/>
                <w:highlight w:val="none"/>
                <w:vertAlign w:val="baseline"/>
                <w:lang w:val="en-US" w:eastAsia="zh-CN"/>
              </w:rPr>
            </w:pPr>
            <w:r>
              <w:rPr>
                <w:rFonts w:hint="eastAsia" w:ascii="仿宋_GB2312" w:hAnsi="仿宋_GB2312" w:eastAsia="仿宋_GB2312" w:cs="仿宋_GB2312"/>
                <w:b w:val="0"/>
                <w:bCs w:val="0"/>
                <w:color w:val="auto"/>
                <w:sz w:val="22"/>
                <w:szCs w:val="22"/>
                <w:highlight w:val="none"/>
                <w:vertAlign w:val="baseline"/>
                <w:lang w:val="en-US" w:eastAsia="zh-CN"/>
              </w:rPr>
              <w:t>国家级领军人才。主要包括：1.国家重点人才计划入选者；国家高层次人才特殊支持计划入选者；“新世纪百千万人才工程”国家级人才；国家有突出贡献的中青年专家；全国杰出专业技术人才；国医大师；吴阶平医学奖获奖者；全国传统文化系统“四个一批”人才；2.以下奖项获得者：国家自然科学奖、国家技术发明奖、国家科学技术进步奖二等奖第一完成人；中国青年女科学家奖；国家级教学成果奖特等奖前3名；中国青年科技奖；中国专利金奖前3名（须为专利发明人及设计人）。省科学技术重大贡献奖项获得者；3.国家重点实验室主任、学术委员会主任；国家工程实验室、国家工程（技术）研究中心、国家能源研发（实验）中心主任；4.中国500强企业总经理级主要经营管理人才；世界500强总部技术研发和管理团队核心成员；5.其他相当于上述层次的领军人才。</w:t>
            </w:r>
          </w:p>
        </w:tc>
        <w:tc>
          <w:tcPr>
            <w:tcW w:w="1101" w:type="dxa"/>
            <w:noWrap w:val="0"/>
            <w:vAlign w:val="center"/>
          </w:tcPr>
          <w:p w14:paraId="07DFDD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val="0"/>
                <w:color w:val="auto"/>
                <w:sz w:val="22"/>
                <w:szCs w:val="22"/>
                <w:highlight w:val="none"/>
                <w:vertAlign w:val="baseline"/>
                <w:lang w:val="en-US" w:eastAsia="zh-CN"/>
              </w:rPr>
            </w:pPr>
            <w:r>
              <w:rPr>
                <w:rFonts w:hint="eastAsia" w:ascii="仿宋_GB2312" w:hAnsi="仿宋_GB2312" w:eastAsia="仿宋_GB2312" w:cs="仿宋_GB2312"/>
                <w:b w:val="0"/>
                <w:bCs w:val="0"/>
                <w:color w:val="auto"/>
                <w:sz w:val="22"/>
                <w:szCs w:val="22"/>
                <w:highlight w:val="none"/>
                <w:vertAlign w:val="baseline"/>
                <w:lang w:val="en-US" w:eastAsia="zh-CN"/>
              </w:rPr>
              <w:t>不低于40万元，一事一议，特事特办</w:t>
            </w:r>
          </w:p>
        </w:tc>
        <w:tc>
          <w:tcPr>
            <w:tcW w:w="1113" w:type="dxa"/>
            <w:noWrap w:val="0"/>
            <w:vAlign w:val="center"/>
          </w:tcPr>
          <w:p w14:paraId="56AB54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val="0"/>
                <w:color w:val="auto"/>
                <w:sz w:val="22"/>
                <w:szCs w:val="22"/>
                <w:highlight w:val="none"/>
                <w:vertAlign w:val="baseline"/>
                <w:lang w:val="en-US" w:eastAsia="zh-CN"/>
              </w:rPr>
            </w:pPr>
            <w:r>
              <w:rPr>
                <w:rFonts w:hint="eastAsia" w:ascii="仿宋_GB2312" w:hAnsi="仿宋_GB2312" w:eastAsia="仿宋_GB2312" w:cs="仿宋_GB2312"/>
                <w:b w:val="0"/>
                <w:bCs w:val="0"/>
                <w:color w:val="auto"/>
                <w:sz w:val="22"/>
                <w:szCs w:val="22"/>
                <w:highlight w:val="none"/>
                <w:vertAlign w:val="baseline"/>
                <w:lang w:val="en-US" w:eastAsia="zh-CN"/>
              </w:rPr>
              <w:t>不低于60万元，一事一议，特事特办</w:t>
            </w:r>
          </w:p>
        </w:tc>
        <w:tc>
          <w:tcPr>
            <w:tcW w:w="1331" w:type="dxa"/>
            <w:noWrap w:val="0"/>
            <w:vAlign w:val="center"/>
          </w:tcPr>
          <w:p w14:paraId="7F9C8C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val="0"/>
                <w:color w:val="auto"/>
                <w:sz w:val="22"/>
                <w:szCs w:val="22"/>
                <w:highlight w:val="none"/>
                <w:vertAlign w:val="baseline"/>
                <w:lang w:val="en-US" w:eastAsia="zh-CN"/>
              </w:rPr>
            </w:pPr>
            <w:r>
              <w:rPr>
                <w:rFonts w:hint="eastAsia" w:ascii="仿宋_GB2312" w:hAnsi="仿宋_GB2312" w:eastAsia="仿宋_GB2312" w:cs="仿宋_GB2312"/>
                <w:b w:val="0"/>
                <w:bCs w:val="0"/>
                <w:color w:val="auto"/>
                <w:sz w:val="22"/>
                <w:szCs w:val="22"/>
                <w:highlight w:val="none"/>
                <w:vertAlign w:val="baseline"/>
                <w:lang w:val="en-US" w:eastAsia="zh-CN"/>
              </w:rPr>
              <w:t>不低于2000元</w:t>
            </w:r>
          </w:p>
          <w:p w14:paraId="05E5A7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val="0"/>
                <w:color w:val="auto"/>
                <w:sz w:val="22"/>
                <w:szCs w:val="22"/>
                <w:highlight w:val="none"/>
                <w:vertAlign w:val="baseline"/>
                <w:lang w:val="en-US" w:eastAsia="zh-CN"/>
              </w:rPr>
            </w:pPr>
            <w:r>
              <w:rPr>
                <w:rFonts w:hint="eastAsia" w:ascii="仿宋_GB2312" w:hAnsi="仿宋_GB2312" w:eastAsia="仿宋_GB2312" w:cs="仿宋_GB2312"/>
                <w:b w:val="0"/>
                <w:bCs w:val="0"/>
                <w:color w:val="auto"/>
                <w:sz w:val="22"/>
                <w:szCs w:val="22"/>
                <w:highlight w:val="none"/>
                <w:vertAlign w:val="baseline"/>
                <w:lang w:val="en-US" w:eastAsia="zh-CN"/>
              </w:rPr>
              <w:t>每月</w:t>
            </w:r>
          </w:p>
        </w:tc>
      </w:tr>
      <w:tr w14:paraId="337D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75" w:type="dxa"/>
            <w:noWrap w:val="0"/>
            <w:vAlign w:val="center"/>
          </w:tcPr>
          <w:p w14:paraId="425293F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黑体" w:hAnsi="黑体" w:eastAsia="黑体" w:cs="黑体"/>
                <w:b w:val="0"/>
                <w:bCs w:val="0"/>
                <w:color w:val="auto"/>
                <w:sz w:val="22"/>
                <w:szCs w:val="22"/>
                <w:highlight w:val="none"/>
                <w:vertAlign w:val="baseline"/>
                <w:lang w:val="en-US" w:eastAsia="zh-CN"/>
              </w:rPr>
            </w:pPr>
            <w:r>
              <w:rPr>
                <w:rFonts w:hint="eastAsia" w:ascii="黑体" w:hAnsi="黑体" w:eastAsia="黑体" w:cs="黑体"/>
                <w:b w:val="0"/>
                <w:bCs w:val="0"/>
                <w:color w:val="auto"/>
                <w:sz w:val="22"/>
                <w:szCs w:val="22"/>
                <w:highlight w:val="none"/>
                <w:vertAlign w:val="baseline"/>
                <w:lang w:val="en-US" w:eastAsia="zh-CN"/>
              </w:rPr>
              <w:t>类别</w:t>
            </w:r>
          </w:p>
        </w:tc>
        <w:tc>
          <w:tcPr>
            <w:tcW w:w="5917" w:type="dxa"/>
            <w:gridSpan w:val="2"/>
            <w:noWrap w:val="0"/>
            <w:vAlign w:val="center"/>
          </w:tcPr>
          <w:p w14:paraId="331AB40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黑体" w:hAnsi="黑体" w:eastAsia="黑体" w:cs="黑体"/>
                <w:b w:val="0"/>
                <w:bCs w:val="0"/>
                <w:color w:val="auto"/>
                <w:sz w:val="22"/>
                <w:szCs w:val="22"/>
                <w:highlight w:val="none"/>
                <w:vertAlign w:val="baseline"/>
                <w:lang w:val="en-US" w:eastAsia="zh-CN"/>
              </w:rPr>
            </w:pPr>
            <w:r>
              <w:rPr>
                <w:rFonts w:hint="eastAsia" w:ascii="黑体" w:hAnsi="黑体" w:eastAsia="黑体" w:cs="黑体"/>
                <w:b w:val="0"/>
                <w:bCs w:val="0"/>
                <w:color w:val="auto"/>
                <w:sz w:val="22"/>
                <w:szCs w:val="22"/>
                <w:highlight w:val="none"/>
                <w:vertAlign w:val="baseline"/>
                <w:lang w:val="en-US" w:eastAsia="zh-CN"/>
              </w:rPr>
              <w:t>认定条件</w:t>
            </w:r>
          </w:p>
        </w:tc>
        <w:tc>
          <w:tcPr>
            <w:tcW w:w="1101" w:type="dxa"/>
            <w:noWrap w:val="0"/>
            <w:vAlign w:val="center"/>
          </w:tcPr>
          <w:p w14:paraId="626E420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黑体" w:hAnsi="黑体" w:eastAsia="黑体" w:cs="黑体"/>
                <w:b w:val="0"/>
                <w:bCs w:val="0"/>
                <w:color w:val="auto"/>
                <w:sz w:val="22"/>
                <w:szCs w:val="22"/>
                <w:highlight w:val="none"/>
                <w:vertAlign w:val="baseline"/>
                <w:lang w:val="en-US" w:eastAsia="zh-CN"/>
              </w:rPr>
            </w:pPr>
            <w:r>
              <w:rPr>
                <w:rFonts w:hint="eastAsia" w:ascii="黑体" w:hAnsi="黑体" w:eastAsia="黑体" w:cs="黑体"/>
                <w:b w:val="0"/>
                <w:bCs w:val="0"/>
                <w:color w:val="auto"/>
                <w:sz w:val="22"/>
                <w:szCs w:val="22"/>
                <w:highlight w:val="none"/>
                <w:vertAlign w:val="baseline"/>
                <w:lang w:val="en-US" w:eastAsia="zh-CN"/>
              </w:rPr>
              <w:t>购房补助</w:t>
            </w:r>
          </w:p>
        </w:tc>
        <w:tc>
          <w:tcPr>
            <w:tcW w:w="1113" w:type="dxa"/>
            <w:noWrap w:val="0"/>
            <w:vAlign w:val="center"/>
          </w:tcPr>
          <w:p w14:paraId="4810DEB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黑体" w:hAnsi="黑体" w:eastAsia="黑体" w:cs="黑体"/>
                <w:b w:val="0"/>
                <w:bCs w:val="0"/>
                <w:color w:val="auto"/>
                <w:sz w:val="22"/>
                <w:szCs w:val="22"/>
                <w:highlight w:val="none"/>
                <w:vertAlign w:val="baseline"/>
                <w:lang w:val="en-US" w:eastAsia="zh-CN"/>
              </w:rPr>
            </w:pPr>
            <w:r>
              <w:rPr>
                <w:rFonts w:hint="eastAsia" w:ascii="黑体" w:hAnsi="黑体" w:eastAsia="黑体" w:cs="黑体"/>
                <w:b w:val="0"/>
                <w:bCs w:val="0"/>
                <w:color w:val="auto"/>
                <w:sz w:val="22"/>
                <w:szCs w:val="22"/>
                <w:highlight w:val="none"/>
                <w:vertAlign w:val="baseline"/>
                <w:lang w:val="en-US" w:eastAsia="zh-CN"/>
              </w:rPr>
              <w:t>生活补助</w:t>
            </w:r>
          </w:p>
        </w:tc>
        <w:tc>
          <w:tcPr>
            <w:tcW w:w="1331" w:type="dxa"/>
            <w:noWrap w:val="0"/>
            <w:vAlign w:val="center"/>
          </w:tcPr>
          <w:p w14:paraId="5A0A9F1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黑体" w:hAnsi="黑体" w:eastAsia="黑体" w:cs="黑体"/>
                <w:b w:val="0"/>
                <w:bCs w:val="0"/>
                <w:color w:val="auto"/>
                <w:sz w:val="22"/>
                <w:szCs w:val="22"/>
                <w:highlight w:val="none"/>
                <w:vertAlign w:val="baseline"/>
                <w:lang w:val="en-US" w:eastAsia="zh-CN"/>
              </w:rPr>
            </w:pPr>
            <w:r>
              <w:rPr>
                <w:rFonts w:hint="eastAsia" w:ascii="黑体" w:hAnsi="黑体" w:eastAsia="黑体" w:cs="黑体"/>
                <w:b w:val="0"/>
                <w:bCs w:val="0"/>
                <w:color w:val="auto"/>
                <w:sz w:val="22"/>
                <w:szCs w:val="22"/>
                <w:highlight w:val="none"/>
                <w:vertAlign w:val="baseline"/>
                <w:lang w:val="en-US" w:eastAsia="zh-CN"/>
              </w:rPr>
              <w:t>过渡性租房补助</w:t>
            </w:r>
          </w:p>
        </w:tc>
      </w:tr>
      <w:tr w14:paraId="0684D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8" w:hRule="atLeast"/>
        </w:trPr>
        <w:tc>
          <w:tcPr>
            <w:tcW w:w="675" w:type="dxa"/>
            <w:noWrap w:val="0"/>
            <w:vAlign w:val="center"/>
          </w:tcPr>
          <w:p w14:paraId="230BD3B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val="0"/>
                <w:bCs w:val="0"/>
                <w:color w:val="auto"/>
                <w:sz w:val="28"/>
                <w:szCs w:val="28"/>
                <w:highlight w:val="none"/>
                <w:vertAlign w:val="baseline"/>
                <w:lang w:val="en-US" w:eastAsia="zh-CN"/>
              </w:rPr>
            </w:pPr>
            <w:r>
              <w:rPr>
                <w:rFonts w:hint="eastAsia" w:ascii="黑体" w:hAnsi="黑体" w:eastAsia="黑体" w:cs="黑体"/>
                <w:b w:val="0"/>
                <w:bCs w:val="0"/>
                <w:color w:val="auto"/>
                <w:sz w:val="28"/>
                <w:szCs w:val="28"/>
                <w:highlight w:val="none"/>
                <w:vertAlign w:val="baseline"/>
                <w:lang w:val="en-US" w:eastAsia="zh-CN"/>
              </w:rPr>
              <w:t>C类</w:t>
            </w:r>
          </w:p>
        </w:tc>
        <w:tc>
          <w:tcPr>
            <w:tcW w:w="5917" w:type="dxa"/>
            <w:gridSpan w:val="2"/>
            <w:noWrap w:val="0"/>
            <w:vAlign w:val="center"/>
          </w:tcPr>
          <w:p w14:paraId="5EF39540">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仿宋_GB2312" w:eastAsia="仿宋_GB2312" w:cs="仿宋_GB2312"/>
                <w:b w:val="0"/>
                <w:bCs w:val="0"/>
                <w:color w:val="auto"/>
                <w:sz w:val="22"/>
                <w:szCs w:val="22"/>
                <w:highlight w:val="none"/>
                <w:vertAlign w:val="baseline"/>
                <w:lang w:val="en-US" w:eastAsia="zh-CN"/>
              </w:rPr>
            </w:pPr>
            <w:r>
              <w:rPr>
                <w:rFonts w:hint="eastAsia" w:ascii="仿宋_GB2312" w:hAnsi="仿宋_GB2312" w:eastAsia="仿宋_GB2312" w:cs="仿宋_GB2312"/>
                <w:b w:val="0"/>
                <w:bCs w:val="0"/>
                <w:color w:val="auto"/>
                <w:sz w:val="22"/>
                <w:szCs w:val="22"/>
                <w:highlight w:val="none"/>
                <w:vertAlign w:val="baseline"/>
                <w:lang w:val="en-US" w:eastAsia="zh-CN"/>
              </w:rPr>
              <w:t>省级领军人才。主要包括：1.享受国务院特殊津贴专家；2.省级优秀中青年专家；省部级学术技术带头人、优秀专家；省高校教学名师；卫生部有突出贡献的中青年专家；省级工艺美术大师；省级建筑大师；省技能大师；省首席技师；“芙蓉学者”特聘教授；省名中医称号获得者；全国优秀教师；省特级教师；3.国家企业技术中心主任；国家重点实验室、国家工程实验室、国家工程（技术）研究中心、国家能源研发（实验）中心副主任；省部（重点）实验室、国防科技重点实验室、省部工程（技术）研究中心、省部制造业创新中心、省部学术委员会、省部工程实验室主任；4.其他相当于上述层次的领军人才。</w:t>
            </w:r>
          </w:p>
        </w:tc>
        <w:tc>
          <w:tcPr>
            <w:tcW w:w="1101" w:type="dxa"/>
            <w:noWrap w:val="0"/>
            <w:vAlign w:val="center"/>
          </w:tcPr>
          <w:p w14:paraId="3129EC6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sz w:val="22"/>
                <w:szCs w:val="22"/>
                <w:highlight w:val="none"/>
                <w:vertAlign w:val="baseline"/>
                <w:lang w:val="en-US" w:eastAsia="zh-CN"/>
              </w:rPr>
            </w:pPr>
            <w:r>
              <w:rPr>
                <w:rFonts w:hint="eastAsia" w:ascii="仿宋_GB2312" w:hAnsi="仿宋_GB2312" w:eastAsia="仿宋_GB2312" w:cs="仿宋_GB2312"/>
                <w:b w:val="0"/>
                <w:bCs w:val="0"/>
                <w:color w:val="auto"/>
                <w:sz w:val="22"/>
                <w:szCs w:val="22"/>
                <w:highlight w:val="none"/>
                <w:vertAlign w:val="baseline"/>
                <w:lang w:val="en-US" w:eastAsia="zh-CN"/>
              </w:rPr>
              <w:t>40万元</w:t>
            </w:r>
          </w:p>
        </w:tc>
        <w:tc>
          <w:tcPr>
            <w:tcW w:w="1113" w:type="dxa"/>
            <w:noWrap w:val="0"/>
            <w:vAlign w:val="center"/>
          </w:tcPr>
          <w:p w14:paraId="6D425A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val="0"/>
                <w:color w:val="auto"/>
                <w:sz w:val="22"/>
                <w:szCs w:val="22"/>
                <w:highlight w:val="none"/>
                <w:vertAlign w:val="baseline"/>
                <w:lang w:val="en-US" w:eastAsia="zh-CN"/>
              </w:rPr>
            </w:pPr>
            <w:r>
              <w:rPr>
                <w:rFonts w:hint="eastAsia" w:ascii="仿宋_GB2312" w:hAnsi="仿宋_GB2312" w:eastAsia="仿宋_GB2312" w:cs="仿宋_GB2312"/>
                <w:b w:val="0"/>
                <w:bCs w:val="0"/>
                <w:color w:val="auto"/>
                <w:sz w:val="22"/>
                <w:szCs w:val="22"/>
                <w:highlight w:val="none"/>
                <w:vertAlign w:val="baseline"/>
                <w:lang w:val="en-US" w:eastAsia="zh-CN"/>
              </w:rPr>
              <w:t>每月5000元</w:t>
            </w:r>
          </w:p>
        </w:tc>
        <w:tc>
          <w:tcPr>
            <w:tcW w:w="1331" w:type="dxa"/>
            <w:noWrap w:val="0"/>
            <w:vAlign w:val="center"/>
          </w:tcPr>
          <w:p w14:paraId="05FDB6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val="0"/>
                <w:color w:val="auto"/>
                <w:sz w:val="22"/>
                <w:szCs w:val="22"/>
                <w:highlight w:val="none"/>
                <w:vertAlign w:val="baseline"/>
                <w:lang w:val="en-US" w:eastAsia="zh-CN"/>
              </w:rPr>
            </w:pPr>
            <w:r>
              <w:rPr>
                <w:rFonts w:hint="eastAsia" w:ascii="仿宋_GB2312" w:hAnsi="仿宋_GB2312" w:eastAsia="仿宋_GB2312" w:cs="仿宋_GB2312"/>
                <w:b w:val="0"/>
                <w:bCs w:val="0"/>
                <w:color w:val="auto"/>
                <w:sz w:val="22"/>
                <w:szCs w:val="22"/>
                <w:highlight w:val="none"/>
                <w:vertAlign w:val="baseline"/>
                <w:lang w:val="en-US" w:eastAsia="zh-CN"/>
              </w:rPr>
              <w:t>不超过2000元</w:t>
            </w:r>
          </w:p>
          <w:p w14:paraId="0A526D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val="0"/>
                <w:color w:val="auto"/>
                <w:sz w:val="22"/>
                <w:szCs w:val="22"/>
                <w:highlight w:val="none"/>
                <w:vertAlign w:val="baseline"/>
                <w:lang w:val="en-US" w:eastAsia="zh-CN"/>
              </w:rPr>
            </w:pPr>
            <w:r>
              <w:rPr>
                <w:rFonts w:hint="eastAsia" w:ascii="仿宋_GB2312" w:hAnsi="仿宋_GB2312" w:eastAsia="仿宋_GB2312" w:cs="仿宋_GB2312"/>
                <w:b w:val="0"/>
                <w:bCs w:val="0"/>
                <w:color w:val="auto"/>
                <w:sz w:val="22"/>
                <w:szCs w:val="22"/>
                <w:highlight w:val="none"/>
                <w:vertAlign w:val="baseline"/>
                <w:lang w:val="en-US" w:eastAsia="zh-CN"/>
              </w:rPr>
              <w:t>每月</w:t>
            </w:r>
          </w:p>
        </w:tc>
      </w:tr>
      <w:tr w14:paraId="15406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675" w:type="dxa"/>
            <w:noWrap w:val="0"/>
            <w:vAlign w:val="center"/>
          </w:tcPr>
          <w:p w14:paraId="5A03123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黑体" w:hAnsi="黑体" w:eastAsia="黑体" w:cs="黑体"/>
                <w:b w:val="0"/>
                <w:bCs w:val="0"/>
                <w:color w:val="auto"/>
                <w:sz w:val="28"/>
                <w:szCs w:val="28"/>
                <w:highlight w:val="none"/>
                <w:vertAlign w:val="baseline"/>
                <w:lang w:val="en-US" w:eastAsia="zh-CN"/>
              </w:rPr>
            </w:pPr>
            <w:r>
              <w:rPr>
                <w:rFonts w:hint="eastAsia" w:ascii="黑体" w:hAnsi="黑体" w:eastAsia="黑体" w:cs="黑体"/>
                <w:b w:val="0"/>
                <w:bCs w:val="0"/>
                <w:color w:val="auto"/>
                <w:sz w:val="28"/>
                <w:szCs w:val="28"/>
                <w:highlight w:val="none"/>
                <w:vertAlign w:val="baseline"/>
                <w:lang w:val="en-US" w:eastAsia="zh-CN"/>
              </w:rPr>
              <w:t>D类</w:t>
            </w:r>
          </w:p>
        </w:tc>
        <w:tc>
          <w:tcPr>
            <w:tcW w:w="5917" w:type="dxa"/>
            <w:gridSpan w:val="2"/>
            <w:noWrap w:val="0"/>
            <w:vAlign w:val="center"/>
          </w:tcPr>
          <w:p w14:paraId="4CF510ED">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仿宋_GB2312" w:eastAsia="仿宋_GB2312" w:cs="仿宋_GB2312"/>
                <w:b w:val="0"/>
                <w:bCs w:val="0"/>
                <w:color w:val="auto"/>
                <w:sz w:val="22"/>
                <w:szCs w:val="22"/>
                <w:highlight w:val="none"/>
                <w:vertAlign w:val="baseline"/>
                <w:lang w:val="en-US" w:eastAsia="zh-CN"/>
              </w:rPr>
            </w:pPr>
            <w:r>
              <w:rPr>
                <w:rFonts w:hint="eastAsia" w:ascii="仿宋_GB2312" w:hAnsi="仿宋_GB2312" w:eastAsia="仿宋_GB2312" w:cs="仿宋_GB2312"/>
                <w:b w:val="0"/>
                <w:bCs w:val="0"/>
                <w:color w:val="auto"/>
                <w:sz w:val="22"/>
                <w:szCs w:val="22"/>
                <w:highlight w:val="none"/>
                <w:vertAlign w:val="baseline"/>
                <w:lang w:val="en-US" w:eastAsia="zh-CN"/>
              </w:rPr>
              <w:t>州级领军人才。主要包括：1.享受省政府特殊津贴专家；2.湖湘工匠获得者；湖南省企业科技创新创业团队带头人；3.具有正高级职称的专业技术人员或高级技师技能等级的高技能人才；4.其他相当于上述层次的领军人才。</w:t>
            </w:r>
          </w:p>
        </w:tc>
        <w:tc>
          <w:tcPr>
            <w:tcW w:w="1101" w:type="dxa"/>
            <w:noWrap w:val="0"/>
            <w:vAlign w:val="center"/>
          </w:tcPr>
          <w:p w14:paraId="6AA64D0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sz w:val="22"/>
                <w:szCs w:val="22"/>
                <w:highlight w:val="none"/>
                <w:vertAlign w:val="baseline"/>
                <w:lang w:val="en-US" w:eastAsia="zh-CN"/>
              </w:rPr>
            </w:pPr>
            <w:r>
              <w:rPr>
                <w:rFonts w:hint="eastAsia" w:ascii="仿宋_GB2312" w:hAnsi="仿宋_GB2312" w:eastAsia="仿宋_GB2312" w:cs="仿宋_GB2312"/>
                <w:b w:val="0"/>
                <w:bCs w:val="0"/>
                <w:color w:val="auto"/>
                <w:sz w:val="22"/>
                <w:szCs w:val="22"/>
                <w:highlight w:val="none"/>
                <w:vertAlign w:val="baseline"/>
                <w:lang w:val="en-US" w:eastAsia="zh-CN"/>
              </w:rPr>
              <w:t>20万元</w:t>
            </w:r>
          </w:p>
        </w:tc>
        <w:tc>
          <w:tcPr>
            <w:tcW w:w="1113" w:type="dxa"/>
            <w:noWrap w:val="0"/>
            <w:vAlign w:val="center"/>
          </w:tcPr>
          <w:p w14:paraId="7246C7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val="0"/>
                <w:color w:val="auto"/>
                <w:sz w:val="22"/>
                <w:szCs w:val="22"/>
                <w:highlight w:val="none"/>
                <w:vertAlign w:val="baseline"/>
                <w:lang w:val="en-US" w:eastAsia="zh-CN"/>
              </w:rPr>
            </w:pPr>
            <w:r>
              <w:rPr>
                <w:rFonts w:hint="eastAsia" w:ascii="仿宋_GB2312" w:hAnsi="仿宋_GB2312" w:eastAsia="仿宋_GB2312" w:cs="仿宋_GB2312"/>
                <w:b w:val="0"/>
                <w:bCs w:val="0"/>
                <w:color w:val="auto"/>
                <w:sz w:val="22"/>
                <w:szCs w:val="22"/>
                <w:highlight w:val="none"/>
                <w:vertAlign w:val="baseline"/>
                <w:lang w:val="en-US" w:eastAsia="zh-CN"/>
              </w:rPr>
              <w:t>每月4000元</w:t>
            </w:r>
          </w:p>
        </w:tc>
        <w:tc>
          <w:tcPr>
            <w:tcW w:w="1331" w:type="dxa"/>
            <w:noWrap w:val="0"/>
            <w:vAlign w:val="center"/>
          </w:tcPr>
          <w:p w14:paraId="51B8C5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val="0"/>
                <w:color w:val="auto"/>
                <w:sz w:val="22"/>
                <w:szCs w:val="22"/>
                <w:highlight w:val="none"/>
                <w:vertAlign w:val="baseline"/>
                <w:lang w:val="en-US" w:eastAsia="zh-CN"/>
              </w:rPr>
            </w:pPr>
            <w:r>
              <w:rPr>
                <w:rFonts w:hint="eastAsia" w:ascii="仿宋_GB2312" w:hAnsi="仿宋_GB2312" w:eastAsia="仿宋_GB2312" w:cs="仿宋_GB2312"/>
                <w:b w:val="0"/>
                <w:bCs w:val="0"/>
                <w:color w:val="auto"/>
                <w:sz w:val="22"/>
                <w:szCs w:val="22"/>
                <w:highlight w:val="none"/>
                <w:vertAlign w:val="baseline"/>
                <w:lang w:val="en-US" w:eastAsia="zh-CN"/>
              </w:rPr>
              <w:t>不超过2000元</w:t>
            </w:r>
          </w:p>
          <w:p w14:paraId="0BD7C5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val="0"/>
                <w:color w:val="auto"/>
                <w:sz w:val="22"/>
                <w:szCs w:val="22"/>
                <w:highlight w:val="none"/>
                <w:vertAlign w:val="baseline"/>
                <w:lang w:val="en-US" w:eastAsia="zh-CN"/>
              </w:rPr>
            </w:pPr>
            <w:r>
              <w:rPr>
                <w:rFonts w:hint="eastAsia" w:ascii="仿宋_GB2312" w:hAnsi="仿宋_GB2312" w:eastAsia="仿宋_GB2312" w:cs="仿宋_GB2312"/>
                <w:b w:val="0"/>
                <w:bCs w:val="0"/>
                <w:color w:val="auto"/>
                <w:sz w:val="22"/>
                <w:szCs w:val="22"/>
                <w:highlight w:val="none"/>
                <w:vertAlign w:val="baseline"/>
                <w:lang w:val="en-US" w:eastAsia="zh-CN"/>
              </w:rPr>
              <w:t>每月</w:t>
            </w:r>
          </w:p>
        </w:tc>
      </w:tr>
      <w:tr w14:paraId="18814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675" w:type="dxa"/>
            <w:noWrap w:val="0"/>
            <w:vAlign w:val="center"/>
          </w:tcPr>
          <w:p w14:paraId="655666F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黑体" w:hAnsi="黑体" w:eastAsia="黑体" w:cs="黑体"/>
                <w:b w:val="0"/>
                <w:bCs w:val="0"/>
                <w:color w:val="auto"/>
                <w:sz w:val="28"/>
                <w:szCs w:val="28"/>
                <w:highlight w:val="none"/>
                <w:vertAlign w:val="baseline"/>
                <w:lang w:val="en-US" w:eastAsia="zh-CN"/>
              </w:rPr>
            </w:pPr>
            <w:r>
              <w:rPr>
                <w:rFonts w:hint="eastAsia" w:ascii="黑体" w:hAnsi="黑体" w:eastAsia="黑体" w:cs="黑体"/>
                <w:b w:val="0"/>
                <w:bCs w:val="0"/>
                <w:color w:val="auto"/>
                <w:sz w:val="28"/>
                <w:szCs w:val="28"/>
                <w:highlight w:val="none"/>
                <w:vertAlign w:val="baseline"/>
                <w:lang w:val="en-US" w:eastAsia="zh-CN"/>
              </w:rPr>
              <w:t>E类</w:t>
            </w:r>
          </w:p>
        </w:tc>
        <w:tc>
          <w:tcPr>
            <w:tcW w:w="5917" w:type="dxa"/>
            <w:gridSpan w:val="2"/>
            <w:noWrap w:val="0"/>
            <w:vAlign w:val="center"/>
          </w:tcPr>
          <w:p w14:paraId="2DFA4DC5">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仿宋_GB2312" w:eastAsia="仿宋_GB2312" w:cs="仿宋_GB2312"/>
                <w:b w:val="0"/>
                <w:bCs w:val="0"/>
                <w:color w:val="auto"/>
                <w:sz w:val="22"/>
                <w:szCs w:val="22"/>
                <w:highlight w:val="none"/>
                <w:vertAlign w:val="baseline"/>
                <w:lang w:val="en-US" w:eastAsia="zh-CN"/>
              </w:rPr>
            </w:pPr>
            <w:r>
              <w:rPr>
                <w:rFonts w:hint="eastAsia" w:ascii="仿宋_GB2312" w:hAnsi="仿宋_GB2312" w:eastAsia="仿宋_GB2312" w:cs="仿宋_GB2312"/>
                <w:b w:val="0"/>
                <w:bCs w:val="0"/>
                <w:color w:val="auto"/>
                <w:sz w:val="22"/>
                <w:szCs w:val="22"/>
                <w:highlight w:val="none"/>
                <w:vertAlign w:val="baseline"/>
                <w:lang w:val="en-US" w:eastAsia="zh-CN"/>
              </w:rPr>
              <w:t>高级人才。主要包括：1.具有博士学历学位、副高级专业技术职务职称或技师技能等级的人才；2.市（州）级优秀中青年专家、享受市（州）级政府津贴的</w:t>
            </w:r>
            <w:bookmarkStart w:id="0" w:name="_GoBack"/>
            <w:bookmarkEnd w:id="0"/>
            <w:r>
              <w:rPr>
                <w:rFonts w:hint="eastAsia" w:ascii="仿宋_GB2312" w:hAnsi="仿宋_GB2312" w:eastAsia="仿宋_GB2312" w:cs="仿宋_GB2312"/>
                <w:b w:val="0"/>
                <w:bCs w:val="0"/>
                <w:color w:val="auto"/>
                <w:sz w:val="22"/>
                <w:szCs w:val="22"/>
                <w:highlight w:val="none"/>
                <w:vertAlign w:val="baseline"/>
                <w:lang w:val="en-US" w:eastAsia="zh-CN"/>
              </w:rPr>
              <w:t>专业技术人员。</w:t>
            </w:r>
          </w:p>
        </w:tc>
        <w:tc>
          <w:tcPr>
            <w:tcW w:w="1101" w:type="dxa"/>
            <w:noWrap w:val="0"/>
            <w:vAlign w:val="center"/>
          </w:tcPr>
          <w:p w14:paraId="1035DBB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sz w:val="22"/>
                <w:szCs w:val="22"/>
                <w:highlight w:val="none"/>
                <w:vertAlign w:val="baseline"/>
                <w:lang w:val="en-US" w:eastAsia="zh-CN"/>
              </w:rPr>
            </w:pPr>
            <w:r>
              <w:rPr>
                <w:rFonts w:hint="eastAsia" w:ascii="仿宋_GB2312" w:hAnsi="仿宋_GB2312" w:eastAsia="仿宋_GB2312" w:cs="仿宋_GB2312"/>
                <w:b w:val="0"/>
                <w:bCs w:val="0"/>
                <w:color w:val="auto"/>
                <w:sz w:val="22"/>
                <w:szCs w:val="22"/>
                <w:highlight w:val="none"/>
                <w:vertAlign w:val="baseline"/>
                <w:lang w:val="en-US" w:eastAsia="zh-CN"/>
              </w:rPr>
              <w:t>10万元</w:t>
            </w:r>
          </w:p>
        </w:tc>
        <w:tc>
          <w:tcPr>
            <w:tcW w:w="1113" w:type="dxa"/>
            <w:noWrap w:val="0"/>
            <w:vAlign w:val="center"/>
          </w:tcPr>
          <w:p w14:paraId="483761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val="0"/>
                <w:color w:val="auto"/>
                <w:sz w:val="22"/>
                <w:szCs w:val="22"/>
                <w:highlight w:val="none"/>
                <w:vertAlign w:val="baseline"/>
                <w:lang w:val="en-US" w:eastAsia="zh-CN"/>
              </w:rPr>
            </w:pPr>
            <w:r>
              <w:rPr>
                <w:rFonts w:hint="eastAsia" w:ascii="仿宋_GB2312" w:hAnsi="仿宋_GB2312" w:eastAsia="仿宋_GB2312" w:cs="仿宋_GB2312"/>
                <w:b w:val="0"/>
                <w:bCs w:val="0"/>
                <w:color w:val="auto"/>
                <w:sz w:val="22"/>
                <w:szCs w:val="22"/>
                <w:highlight w:val="none"/>
                <w:vertAlign w:val="baseline"/>
                <w:lang w:val="en-US" w:eastAsia="zh-CN"/>
              </w:rPr>
              <w:t>每月2000元</w:t>
            </w:r>
          </w:p>
        </w:tc>
        <w:tc>
          <w:tcPr>
            <w:tcW w:w="1331" w:type="dxa"/>
            <w:noWrap w:val="0"/>
            <w:vAlign w:val="center"/>
          </w:tcPr>
          <w:p w14:paraId="60CB20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val="0"/>
                <w:color w:val="auto"/>
                <w:sz w:val="22"/>
                <w:szCs w:val="22"/>
                <w:highlight w:val="none"/>
                <w:vertAlign w:val="baseline"/>
                <w:lang w:val="en-US" w:eastAsia="zh-CN"/>
              </w:rPr>
            </w:pPr>
            <w:r>
              <w:rPr>
                <w:rFonts w:hint="eastAsia" w:ascii="仿宋_GB2312" w:hAnsi="仿宋_GB2312" w:eastAsia="仿宋_GB2312" w:cs="仿宋_GB2312"/>
                <w:b w:val="0"/>
                <w:bCs w:val="0"/>
                <w:color w:val="auto"/>
                <w:sz w:val="22"/>
                <w:szCs w:val="22"/>
                <w:highlight w:val="none"/>
                <w:vertAlign w:val="baseline"/>
                <w:lang w:val="en-US" w:eastAsia="zh-CN"/>
              </w:rPr>
              <w:t>不超过2000元</w:t>
            </w:r>
          </w:p>
          <w:p w14:paraId="2B95B4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val="0"/>
                <w:color w:val="auto"/>
                <w:sz w:val="22"/>
                <w:szCs w:val="22"/>
                <w:highlight w:val="none"/>
                <w:vertAlign w:val="baseline"/>
                <w:lang w:val="en-US" w:eastAsia="zh-CN"/>
              </w:rPr>
            </w:pPr>
            <w:r>
              <w:rPr>
                <w:rFonts w:hint="eastAsia" w:ascii="仿宋_GB2312" w:hAnsi="仿宋_GB2312" w:eastAsia="仿宋_GB2312" w:cs="仿宋_GB2312"/>
                <w:b w:val="0"/>
                <w:bCs w:val="0"/>
                <w:color w:val="auto"/>
                <w:sz w:val="22"/>
                <w:szCs w:val="22"/>
                <w:highlight w:val="none"/>
                <w:vertAlign w:val="baseline"/>
                <w:lang w:val="en-US" w:eastAsia="zh-CN"/>
              </w:rPr>
              <w:t>每月</w:t>
            </w:r>
          </w:p>
        </w:tc>
      </w:tr>
      <w:tr w14:paraId="3DF71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675" w:type="dxa"/>
            <w:vMerge w:val="restart"/>
            <w:noWrap w:val="0"/>
            <w:vAlign w:val="center"/>
          </w:tcPr>
          <w:p w14:paraId="627CC77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黑体" w:hAnsi="黑体" w:eastAsia="黑体" w:cs="黑体"/>
                <w:b w:val="0"/>
                <w:bCs w:val="0"/>
                <w:color w:val="auto"/>
                <w:sz w:val="28"/>
                <w:szCs w:val="28"/>
                <w:highlight w:val="none"/>
                <w:vertAlign w:val="baseline"/>
                <w:lang w:val="en-US" w:eastAsia="zh-CN"/>
              </w:rPr>
            </w:pPr>
            <w:r>
              <w:rPr>
                <w:rFonts w:hint="eastAsia" w:ascii="黑体" w:hAnsi="黑体" w:eastAsia="黑体" w:cs="黑体"/>
                <w:b w:val="0"/>
                <w:bCs w:val="0"/>
                <w:color w:val="auto"/>
                <w:sz w:val="28"/>
                <w:szCs w:val="28"/>
                <w:highlight w:val="none"/>
                <w:vertAlign w:val="baseline"/>
                <w:lang w:val="en-US" w:eastAsia="zh-CN"/>
              </w:rPr>
              <w:t>F类</w:t>
            </w:r>
          </w:p>
        </w:tc>
        <w:tc>
          <w:tcPr>
            <w:tcW w:w="757" w:type="dxa"/>
            <w:noWrap w:val="0"/>
            <w:vAlign w:val="center"/>
          </w:tcPr>
          <w:p w14:paraId="14C4780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sz w:val="22"/>
                <w:szCs w:val="22"/>
                <w:highlight w:val="none"/>
                <w:vertAlign w:val="baseline"/>
                <w:lang w:val="en-US" w:eastAsia="zh-CN"/>
              </w:rPr>
            </w:pPr>
            <w:r>
              <w:rPr>
                <w:rFonts w:hint="eastAsia" w:ascii="仿宋_GB2312" w:hAnsi="仿宋_GB2312" w:eastAsia="仿宋_GB2312" w:cs="仿宋_GB2312"/>
                <w:b w:val="0"/>
                <w:bCs w:val="0"/>
                <w:color w:val="auto"/>
                <w:sz w:val="22"/>
                <w:szCs w:val="22"/>
                <w:highlight w:val="none"/>
                <w:vertAlign w:val="baseline"/>
                <w:lang w:val="en-US" w:eastAsia="zh-CN"/>
              </w:rPr>
              <w:t>F1</w:t>
            </w:r>
          </w:p>
        </w:tc>
        <w:tc>
          <w:tcPr>
            <w:tcW w:w="5160" w:type="dxa"/>
            <w:noWrap w:val="0"/>
            <w:vAlign w:val="center"/>
          </w:tcPr>
          <w:p w14:paraId="630C8E28">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仿宋_GB2312" w:eastAsia="仿宋_GB2312" w:cs="仿宋_GB2312"/>
                <w:b w:val="0"/>
                <w:bCs w:val="0"/>
                <w:color w:val="auto"/>
                <w:sz w:val="22"/>
                <w:szCs w:val="22"/>
                <w:highlight w:val="none"/>
                <w:vertAlign w:val="baseline"/>
                <w:lang w:val="en-US" w:eastAsia="zh-CN"/>
              </w:rPr>
            </w:pPr>
            <w:r>
              <w:rPr>
                <w:rFonts w:hint="eastAsia" w:ascii="仿宋_GB2312" w:hAnsi="仿宋_GB2312" w:eastAsia="仿宋_GB2312" w:cs="仿宋_GB2312"/>
                <w:b w:val="0"/>
                <w:bCs w:val="0"/>
                <w:color w:val="auto"/>
                <w:sz w:val="22"/>
                <w:szCs w:val="22"/>
                <w:highlight w:val="none"/>
                <w:vertAlign w:val="baseline"/>
                <w:lang w:val="en-US" w:eastAsia="zh-CN"/>
              </w:rPr>
              <w:t>急需紧缺专业硕士研究生。</w:t>
            </w:r>
          </w:p>
        </w:tc>
        <w:tc>
          <w:tcPr>
            <w:tcW w:w="1101" w:type="dxa"/>
            <w:noWrap w:val="0"/>
            <w:vAlign w:val="center"/>
          </w:tcPr>
          <w:p w14:paraId="12EFCBB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sz w:val="22"/>
                <w:szCs w:val="22"/>
                <w:highlight w:val="none"/>
                <w:vertAlign w:val="baseline"/>
                <w:lang w:val="en-US" w:eastAsia="zh-CN"/>
              </w:rPr>
            </w:pPr>
            <w:r>
              <w:rPr>
                <w:rFonts w:hint="eastAsia" w:ascii="仿宋_GB2312" w:hAnsi="仿宋_GB2312" w:eastAsia="仿宋_GB2312" w:cs="仿宋_GB2312"/>
                <w:b w:val="0"/>
                <w:bCs w:val="0"/>
                <w:color w:val="auto"/>
                <w:sz w:val="22"/>
                <w:szCs w:val="22"/>
                <w:highlight w:val="none"/>
                <w:vertAlign w:val="baseline"/>
                <w:lang w:val="en-US" w:eastAsia="zh-CN"/>
              </w:rPr>
              <w:t>3万元</w:t>
            </w:r>
          </w:p>
        </w:tc>
        <w:tc>
          <w:tcPr>
            <w:tcW w:w="1113" w:type="dxa"/>
            <w:noWrap w:val="0"/>
            <w:vAlign w:val="center"/>
          </w:tcPr>
          <w:p w14:paraId="2BFE2F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val="0"/>
                <w:color w:val="auto"/>
                <w:sz w:val="22"/>
                <w:szCs w:val="22"/>
                <w:highlight w:val="none"/>
                <w:vertAlign w:val="baseline"/>
                <w:lang w:val="en-US" w:eastAsia="zh-CN"/>
              </w:rPr>
            </w:pPr>
            <w:r>
              <w:rPr>
                <w:rFonts w:hint="eastAsia" w:ascii="仿宋_GB2312" w:hAnsi="仿宋_GB2312" w:eastAsia="仿宋_GB2312" w:cs="仿宋_GB2312"/>
                <w:b w:val="0"/>
                <w:bCs w:val="0"/>
                <w:color w:val="auto"/>
                <w:sz w:val="22"/>
                <w:szCs w:val="22"/>
                <w:highlight w:val="none"/>
                <w:vertAlign w:val="baseline"/>
                <w:lang w:val="en-US" w:eastAsia="zh-CN"/>
              </w:rPr>
              <w:t>每月1200元</w:t>
            </w:r>
          </w:p>
        </w:tc>
        <w:tc>
          <w:tcPr>
            <w:tcW w:w="1331" w:type="dxa"/>
            <w:noWrap w:val="0"/>
            <w:vAlign w:val="center"/>
          </w:tcPr>
          <w:p w14:paraId="7F49DE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val="0"/>
                <w:color w:val="auto"/>
                <w:sz w:val="22"/>
                <w:szCs w:val="22"/>
                <w:highlight w:val="none"/>
                <w:vertAlign w:val="baseline"/>
                <w:lang w:val="en-US" w:eastAsia="zh-CN"/>
              </w:rPr>
            </w:pPr>
            <w:r>
              <w:rPr>
                <w:rFonts w:hint="eastAsia" w:ascii="仿宋_GB2312" w:hAnsi="仿宋_GB2312" w:eastAsia="仿宋_GB2312" w:cs="仿宋_GB2312"/>
                <w:b w:val="0"/>
                <w:bCs w:val="0"/>
                <w:color w:val="auto"/>
                <w:sz w:val="22"/>
                <w:szCs w:val="22"/>
                <w:highlight w:val="none"/>
                <w:vertAlign w:val="baseline"/>
                <w:lang w:val="en-US" w:eastAsia="zh-CN"/>
              </w:rPr>
              <w:t>不超过1000元</w:t>
            </w:r>
          </w:p>
          <w:p w14:paraId="3873B0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val="0"/>
                <w:color w:val="auto"/>
                <w:sz w:val="22"/>
                <w:szCs w:val="22"/>
                <w:highlight w:val="none"/>
                <w:vertAlign w:val="baseline"/>
                <w:lang w:val="en-US" w:eastAsia="zh-CN"/>
              </w:rPr>
            </w:pPr>
            <w:r>
              <w:rPr>
                <w:rFonts w:hint="eastAsia" w:ascii="仿宋_GB2312" w:hAnsi="仿宋_GB2312" w:eastAsia="仿宋_GB2312" w:cs="仿宋_GB2312"/>
                <w:b w:val="0"/>
                <w:bCs w:val="0"/>
                <w:color w:val="auto"/>
                <w:sz w:val="22"/>
                <w:szCs w:val="22"/>
                <w:highlight w:val="none"/>
                <w:vertAlign w:val="baseline"/>
                <w:lang w:val="en-US" w:eastAsia="zh-CN"/>
              </w:rPr>
              <w:t>每月</w:t>
            </w:r>
          </w:p>
        </w:tc>
      </w:tr>
      <w:tr w14:paraId="6D66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675" w:type="dxa"/>
            <w:vMerge w:val="continue"/>
            <w:noWrap w:val="0"/>
            <w:vAlign w:val="center"/>
          </w:tcPr>
          <w:p w14:paraId="04EC8F2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val="0"/>
                <w:bCs w:val="0"/>
                <w:color w:val="auto"/>
                <w:sz w:val="28"/>
                <w:szCs w:val="28"/>
                <w:highlight w:val="none"/>
                <w:vertAlign w:val="baseline"/>
                <w:lang w:val="en-US" w:eastAsia="zh-CN"/>
              </w:rPr>
            </w:pPr>
          </w:p>
        </w:tc>
        <w:tc>
          <w:tcPr>
            <w:tcW w:w="757" w:type="dxa"/>
            <w:noWrap w:val="0"/>
            <w:vAlign w:val="center"/>
          </w:tcPr>
          <w:p w14:paraId="582CD36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sz w:val="22"/>
                <w:szCs w:val="22"/>
                <w:highlight w:val="none"/>
                <w:vertAlign w:val="baseline"/>
                <w:lang w:val="en-US" w:eastAsia="zh-CN"/>
              </w:rPr>
            </w:pPr>
            <w:r>
              <w:rPr>
                <w:rFonts w:hint="eastAsia" w:ascii="仿宋_GB2312" w:hAnsi="仿宋_GB2312" w:eastAsia="仿宋_GB2312" w:cs="仿宋_GB2312"/>
                <w:b w:val="0"/>
                <w:bCs w:val="0"/>
                <w:color w:val="auto"/>
                <w:sz w:val="22"/>
                <w:szCs w:val="22"/>
                <w:highlight w:val="none"/>
                <w:vertAlign w:val="baseline"/>
                <w:lang w:val="en-US" w:eastAsia="zh-CN"/>
              </w:rPr>
              <w:t>F2</w:t>
            </w:r>
          </w:p>
        </w:tc>
        <w:tc>
          <w:tcPr>
            <w:tcW w:w="5160" w:type="dxa"/>
            <w:noWrap w:val="0"/>
            <w:vAlign w:val="center"/>
          </w:tcPr>
          <w:p w14:paraId="35D16148">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仿宋_GB2312" w:eastAsia="仿宋_GB2312" w:cs="仿宋_GB2312"/>
                <w:b w:val="0"/>
                <w:bCs w:val="0"/>
                <w:color w:val="auto"/>
                <w:sz w:val="22"/>
                <w:szCs w:val="22"/>
                <w:highlight w:val="none"/>
                <w:vertAlign w:val="baseline"/>
                <w:lang w:val="en-US" w:eastAsia="zh-CN"/>
              </w:rPr>
            </w:pPr>
            <w:r>
              <w:rPr>
                <w:rFonts w:hint="eastAsia" w:ascii="仿宋_GB2312" w:hAnsi="仿宋_GB2312" w:eastAsia="仿宋_GB2312" w:cs="仿宋_GB2312"/>
                <w:b w:val="0"/>
                <w:bCs w:val="0"/>
                <w:color w:val="auto"/>
                <w:sz w:val="22"/>
                <w:szCs w:val="22"/>
                <w:highlight w:val="none"/>
                <w:vertAlign w:val="baseline"/>
                <w:lang w:val="en-US" w:eastAsia="zh-CN"/>
              </w:rPr>
              <w:t>“双一流”大学（学科）建设高校获得学士学位的急需紧缺专业本科毕业生。</w:t>
            </w:r>
          </w:p>
        </w:tc>
        <w:tc>
          <w:tcPr>
            <w:tcW w:w="1101" w:type="dxa"/>
            <w:noWrap w:val="0"/>
            <w:vAlign w:val="center"/>
          </w:tcPr>
          <w:p w14:paraId="3D174F8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sz w:val="22"/>
                <w:szCs w:val="22"/>
                <w:highlight w:val="none"/>
                <w:vertAlign w:val="baseline"/>
                <w:lang w:val="en-US" w:eastAsia="zh-CN"/>
              </w:rPr>
            </w:pPr>
            <w:r>
              <w:rPr>
                <w:rFonts w:hint="eastAsia" w:ascii="仿宋_GB2312" w:hAnsi="仿宋_GB2312" w:eastAsia="仿宋_GB2312" w:cs="仿宋_GB2312"/>
                <w:b w:val="0"/>
                <w:bCs w:val="0"/>
                <w:color w:val="auto"/>
                <w:sz w:val="22"/>
                <w:szCs w:val="22"/>
                <w:highlight w:val="none"/>
                <w:vertAlign w:val="baseline"/>
                <w:lang w:val="en-US" w:eastAsia="zh-CN"/>
              </w:rPr>
              <w:t>2万元</w:t>
            </w:r>
          </w:p>
        </w:tc>
        <w:tc>
          <w:tcPr>
            <w:tcW w:w="1113" w:type="dxa"/>
            <w:noWrap w:val="0"/>
            <w:vAlign w:val="center"/>
          </w:tcPr>
          <w:p w14:paraId="67E0EF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val="0"/>
                <w:color w:val="auto"/>
                <w:sz w:val="22"/>
                <w:szCs w:val="22"/>
                <w:highlight w:val="none"/>
                <w:vertAlign w:val="baseline"/>
                <w:lang w:val="en-US" w:eastAsia="zh-CN"/>
              </w:rPr>
            </w:pPr>
            <w:r>
              <w:rPr>
                <w:rFonts w:hint="eastAsia" w:ascii="仿宋_GB2312" w:hAnsi="仿宋_GB2312" w:eastAsia="仿宋_GB2312" w:cs="仿宋_GB2312"/>
                <w:b w:val="0"/>
                <w:bCs w:val="0"/>
                <w:color w:val="auto"/>
                <w:sz w:val="22"/>
                <w:szCs w:val="22"/>
                <w:highlight w:val="none"/>
                <w:vertAlign w:val="baseline"/>
                <w:lang w:val="en-US" w:eastAsia="zh-CN"/>
              </w:rPr>
              <w:t>每月800元</w:t>
            </w:r>
          </w:p>
        </w:tc>
        <w:tc>
          <w:tcPr>
            <w:tcW w:w="1331" w:type="dxa"/>
            <w:noWrap w:val="0"/>
            <w:vAlign w:val="center"/>
          </w:tcPr>
          <w:p w14:paraId="622400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val="0"/>
                <w:color w:val="auto"/>
                <w:sz w:val="22"/>
                <w:szCs w:val="22"/>
                <w:highlight w:val="none"/>
                <w:vertAlign w:val="baseline"/>
                <w:lang w:val="en-US" w:eastAsia="zh-CN"/>
              </w:rPr>
            </w:pPr>
            <w:r>
              <w:rPr>
                <w:rFonts w:hint="eastAsia" w:ascii="仿宋_GB2312" w:hAnsi="仿宋_GB2312" w:eastAsia="仿宋_GB2312" w:cs="仿宋_GB2312"/>
                <w:b w:val="0"/>
                <w:bCs w:val="0"/>
                <w:color w:val="auto"/>
                <w:sz w:val="22"/>
                <w:szCs w:val="22"/>
                <w:highlight w:val="none"/>
                <w:vertAlign w:val="baseline"/>
                <w:lang w:val="en-US" w:eastAsia="zh-CN"/>
              </w:rPr>
              <w:t>不超过1000元</w:t>
            </w:r>
          </w:p>
          <w:p w14:paraId="2AE78C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val="0"/>
                <w:color w:val="auto"/>
                <w:sz w:val="22"/>
                <w:szCs w:val="22"/>
                <w:highlight w:val="none"/>
                <w:vertAlign w:val="baseline"/>
                <w:lang w:val="en-US" w:eastAsia="zh-CN"/>
              </w:rPr>
            </w:pPr>
            <w:r>
              <w:rPr>
                <w:rFonts w:hint="eastAsia" w:ascii="仿宋_GB2312" w:hAnsi="仿宋_GB2312" w:eastAsia="仿宋_GB2312" w:cs="仿宋_GB2312"/>
                <w:b w:val="0"/>
                <w:bCs w:val="0"/>
                <w:color w:val="auto"/>
                <w:sz w:val="22"/>
                <w:szCs w:val="22"/>
                <w:highlight w:val="none"/>
                <w:vertAlign w:val="baseline"/>
                <w:lang w:val="en-US" w:eastAsia="zh-CN"/>
              </w:rPr>
              <w:t>每月</w:t>
            </w:r>
          </w:p>
        </w:tc>
      </w:tr>
      <w:tr w14:paraId="61AB2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675" w:type="dxa"/>
            <w:vMerge w:val="continue"/>
            <w:noWrap w:val="0"/>
            <w:vAlign w:val="center"/>
          </w:tcPr>
          <w:p w14:paraId="0288ABA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val="0"/>
                <w:bCs w:val="0"/>
                <w:color w:val="auto"/>
                <w:sz w:val="28"/>
                <w:szCs w:val="28"/>
                <w:highlight w:val="none"/>
                <w:vertAlign w:val="baseline"/>
                <w:lang w:val="en-US" w:eastAsia="zh-CN"/>
              </w:rPr>
            </w:pPr>
          </w:p>
        </w:tc>
        <w:tc>
          <w:tcPr>
            <w:tcW w:w="757" w:type="dxa"/>
            <w:noWrap w:val="0"/>
            <w:vAlign w:val="center"/>
          </w:tcPr>
          <w:p w14:paraId="6C307AF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sz w:val="22"/>
                <w:szCs w:val="22"/>
                <w:highlight w:val="none"/>
                <w:vertAlign w:val="baseline"/>
                <w:lang w:val="en-US" w:eastAsia="zh-CN"/>
              </w:rPr>
            </w:pPr>
            <w:r>
              <w:rPr>
                <w:rFonts w:hint="eastAsia" w:ascii="仿宋_GB2312" w:hAnsi="仿宋_GB2312" w:eastAsia="仿宋_GB2312" w:cs="仿宋_GB2312"/>
                <w:b w:val="0"/>
                <w:bCs w:val="0"/>
                <w:color w:val="auto"/>
                <w:sz w:val="22"/>
                <w:szCs w:val="22"/>
                <w:highlight w:val="none"/>
                <w:vertAlign w:val="baseline"/>
                <w:lang w:val="en-US" w:eastAsia="zh-CN"/>
              </w:rPr>
              <w:t>F3</w:t>
            </w:r>
          </w:p>
        </w:tc>
        <w:tc>
          <w:tcPr>
            <w:tcW w:w="5160" w:type="dxa"/>
            <w:noWrap w:val="0"/>
            <w:vAlign w:val="center"/>
          </w:tcPr>
          <w:p w14:paraId="7DC14420">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仿宋_GB2312" w:hAnsi="仿宋_GB2312" w:eastAsia="仿宋_GB2312" w:cs="仿宋_GB2312"/>
                <w:b w:val="0"/>
                <w:bCs w:val="0"/>
                <w:color w:val="auto"/>
                <w:sz w:val="22"/>
                <w:szCs w:val="22"/>
                <w:highlight w:val="none"/>
                <w:vertAlign w:val="baseline"/>
                <w:lang w:val="en-US" w:eastAsia="zh-CN"/>
              </w:rPr>
            </w:pPr>
            <w:r>
              <w:rPr>
                <w:rFonts w:hint="eastAsia" w:ascii="仿宋_GB2312" w:hAnsi="仿宋_GB2312" w:eastAsia="仿宋_GB2312" w:cs="仿宋_GB2312"/>
                <w:b w:val="0"/>
                <w:bCs w:val="0"/>
                <w:color w:val="auto"/>
                <w:sz w:val="22"/>
                <w:szCs w:val="22"/>
                <w:highlight w:val="none"/>
                <w:vertAlign w:val="baseline"/>
                <w:lang w:val="en-US" w:eastAsia="zh-CN"/>
              </w:rPr>
              <w:t>其他急需紧缺专业本科生</w:t>
            </w:r>
          </w:p>
        </w:tc>
        <w:tc>
          <w:tcPr>
            <w:tcW w:w="3545" w:type="dxa"/>
            <w:gridSpan w:val="3"/>
            <w:noWrap w:val="0"/>
            <w:vAlign w:val="center"/>
          </w:tcPr>
          <w:p w14:paraId="63F745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_GB2312" w:hAnsi="仿宋_GB2312" w:eastAsia="仿宋_GB2312" w:cs="仿宋_GB2312"/>
                <w:b w:val="0"/>
                <w:bCs w:val="0"/>
                <w:color w:val="auto"/>
                <w:sz w:val="22"/>
                <w:szCs w:val="22"/>
                <w:highlight w:val="none"/>
                <w:vertAlign w:val="baseline"/>
                <w:lang w:val="en-US" w:eastAsia="zh-CN"/>
              </w:rPr>
            </w:pPr>
            <w:r>
              <w:rPr>
                <w:rFonts w:hint="eastAsia" w:ascii="仿宋_GB2312" w:hAnsi="仿宋_GB2312" w:eastAsia="仿宋_GB2312" w:cs="仿宋_GB2312"/>
                <w:b w:val="0"/>
                <w:bCs w:val="0"/>
                <w:color w:val="auto"/>
                <w:sz w:val="22"/>
                <w:szCs w:val="22"/>
                <w:highlight w:val="none"/>
                <w:vertAlign w:val="baseline"/>
                <w:lang w:val="en-US" w:eastAsia="zh-CN"/>
              </w:rPr>
              <w:t>仅享受引才入编</w:t>
            </w:r>
          </w:p>
        </w:tc>
      </w:tr>
    </w:tbl>
    <w:p w14:paraId="50F30371">
      <w:pPr>
        <w:pStyle w:val="2"/>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8EEC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48BEE5">
                          <w:pPr>
                            <w:pStyle w:val="5"/>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48BEE5">
                    <w:pPr>
                      <w:pStyle w:val="5"/>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NmUyYWE1YmY3ODM2YTQ4NGRjN2Y5YTRiNmE3MmUifQ=="/>
  </w:docVars>
  <w:rsids>
    <w:rsidRoot w:val="00000000"/>
    <w:rsid w:val="12A91AF5"/>
    <w:rsid w:val="15A1585C"/>
    <w:rsid w:val="4FCE7873"/>
    <w:rsid w:val="6D413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spacing w:after="0"/>
      <w:ind w:firstLine="420" w:firstLineChars="200"/>
    </w:pPr>
  </w:style>
  <w:style w:type="paragraph" w:styleId="3">
    <w:name w:val="Body Text Indent"/>
    <w:basedOn w:val="1"/>
    <w:unhideWhenUsed/>
    <w:qFormat/>
    <w:uiPriority w:val="99"/>
    <w:pPr>
      <w:spacing w:after="120"/>
      <w:ind w:left="420" w:leftChars="200"/>
    </w:pPr>
  </w:style>
  <w:style w:type="paragraph" w:styleId="4">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BodyText"/>
    <w:basedOn w:val="1"/>
    <w:qFormat/>
    <w:uiPriority w:val="0"/>
    <w:pPr>
      <w:spacing w:after="120"/>
      <w:textAlignment w:val="baseline"/>
    </w:pPr>
    <w:rPr>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2799</Words>
  <Characters>2924</Characters>
  <Lines>0</Lines>
  <Paragraphs>0</Paragraphs>
  <TotalTime>1</TotalTime>
  <ScaleCrop>false</ScaleCrop>
  <LinksUpToDate>false</LinksUpToDate>
  <CharactersWithSpaces>2941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2024-10-21T02:26:00Z</dcterms:created>
  <dc:creator>Administrator</dc:creator>
  <cp:lastModifiedBy>王梓亦。</cp:lastModifiedBy>
  <dcterms:modified xsi:type="dcterms:W3CDTF">2024-10-21T02:47:45Z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CF03DCF91B9B4516BBA8EEED11623778_12</vt:lpwstr>
  </property>
</Properties>
</file>