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Style w:val="11"/>
          <w:rFonts w:hint="eastAsia" w:ascii="宋体" w:hAnsi="宋体"/>
          <w:sz w:val="36"/>
          <w:szCs w:val="36"/>
        </w:rPr>
      </w:pPr>
      <w:r>
        <w:rPr>
          <w:rStyle w:val="11"/>
          <w:rFonts w:hint="eastAsia" w:ascii="宋体" w:hAnsi="宋体" w:cs="宋体"/>
          <w:b/>
          <w:sz w:val="36"/>
          <w:szCs w:val="36"/>
        </w:rPr>
        <w:t>宁波市卫生健康委直属事业单位武汉专场</w:t>
      </w:r>
      <w:r>
        <w:rPr>
          <w:rFonts w:hint="eastAsia" w:ascii="宋体" w:hAnsi="宋体" w:cs="宋体"/>
          <w:b/>
          <w:bCs/>
          <w:sz w:val="36"/>
          <w:szCs w:val="36"/>
        </w:rPr>
        <w:t>公开招聘岗位</w:t>
      </w:r>
    </w:p>
    <w:p>
      <w:pPr>
        <w:widowControl/>
        <w:spacing w:line="400" w:lineRule="exact"/>
        <w:jc w:val="center"/>
        <w:rPr>
          <w:rFonts w:hint="eastAsia" w:ascii="微软雅黑" w:hAnsi="微软雅黑" w:eastAsia="微软雅黑" w:cs="宋体"/>
          <w:b/>
          <w:color w:val="4D4D4D"/>
          <w:kern w:val="0"/>
          <w:sz w:val="23"/>
          <w:szCs w:val="23"/>
        </w:rPr>
      </w:pPr>
    </w:p>
    <w:tbl>
      <w:tblPr>
        <w:tblStyle w:val="6"/>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836"/>
        <w:gridCol w:w="616"/>
        <w:gridCol w:w="2230"/>
        <w:gridCol w:w="3436"/>
        <w:gridCol w:w="709"/>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69" w:type="dxa"/>
            <w:vAlign w:val="center"/>
          </w:tcPr>
          <w:p>
            <w:pPr>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单位</w:t>
            </w:r>
          </w:p>
        </w:tc>
        <w:tc>
          <w:tcPr>
            <w:tcW w:w="836" w:type="dxa"/>
            <w:vAlign w:val="center"/>
          </w:tcPr>
          <w:p>
            <w:pPr>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岗位</w:t>
            </w:r>
          </w:p>
        </w:tc>
        <w:tc>
          <w:tcPr>
            <w:tcW w:w="616" w:type="dxa"/>
            <w:vAlign w:val="center"/>
          </w:tcPr>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人数</w:t>
            </w:r>
          </w:p>
        </w:tc>
        <w:tc>
          <w:tcPr>
            <w:tcW w:w="2230" w:type="dxa"/>
            <w:vAlign w:val="center"/>
          </w:tcPr>
          <w:p>
            <w:pPr>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岗位</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职责</w:t>
            </w:r>
          </w:p>
        </w:tc>
        <w:tc>
          <w:tcPr>
            <w:tcW w:w="3436" w:type="dxa"/>
            <w:vAlign w:val="center"/>
          </w:tcPr>
          <w:p>
            <w:pPr>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招聘专业及</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学历（学位）要求</w:t>
            </w:r>
          </w:p>
        </w:tc>
        <w:tc>
          <w:tcPr>
            <w:tcW w:w="709" w:type="dxa"/>
            <w:vAlign w:val="center"/>
          </w:tcPr>
          <w:p>
            <w:pPr>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范围</w:t>
            </w:r>
          </w:p>
        </w:tc>
        <w:tc>
          <w:tcPr>
            <w:tcW w:w="1823" w:type="dxa"/>
            <w:vAlign w:val="center"/>
          </w:tcPr>
          <w:p>
            <w:pPr>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其他资格</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宁波市医疗中心李惠利医院</w:t>
            </w:r>
          </w:p>
          <w:p>
            <w:pPr>
              <w:widowControl/>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（7</w:t>
            </w:r>
            <w:r>
              <w:rPr>
                <w:rFonts w:hint="eastAsia" w:ascii="Times New Roman" w:hAnsi="Times New Roman" w:eastAsia="宋体" w:cs="Times New Roman"/>
                <w:kern w:val="0"/>
                <w:sz w:val="18"/>
                <w:szCs w:val="18"/>
              </w:rPr>
              <w:t>0</w:t>
            </w:r>
            <w:r>
              <w:rPr>
                <w:rFonts w:ascii="Times New Roman" w:hAnsi="Times New Roman" w:eastAsia="宋体" w:cs="Times New Roman"/>
                <w:kern w:val="0"/>
                <w:sz w:val="18"/>
                <w:szCs w:val="18"/>
              </w:rPr>
              <w:t>名）</w:t>
            </w:r>
          </w:p>
        </w:tc>
        <w:tc>
          <w:tcPr>
            <w:tcW w:w="836" w:type="dxa"/>
            <w:vMerge w:val="restart"/>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临床</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30</w:t>
            </w:r>
          </w:p>
        </w:tc>
        <w:tc>
          <w:tcPr>
            <w:tcW w:w="2230" w:type="dxa"/>
            <w:vMerge w:val="restart"/>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各科日常诊断、治疗、教学、科研等工作</w:t>
            </w:r>
          </w:p>
        </w:tc>
        <w:tc>
          <w:tcPr>
            <w:tcW w:w="3436"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普外科学、胸外科学、神经外科学、泌尿外科学、耳鼻咽喉头颈外科学、眼科学、骨外科学、妇产科学、麻醉学、血液病学、心血管内科学、神经病学、消化内科学、呼吸</w:t>
            </w:r>
            <w:r>
              <w:rPr>
                <w:rFonts w:hint="eastAsia" w:ascii="Times New Roman" w:hAnsi="Times New Roman" w:cs="Times New Roman"/>
                <w:kern w:val="0"/>
                <w:sz w:val="18"/>
                <w:szCs w:val="18"/>
              </w:rPr>
              <w:t>病</w:t>
            </w:r>
            <w:r>
              <w:rPr>
                <w:rFonts w:ascii="Times New Roman" w:hAnsi="Times New Roman" w:cs="Times New Roman"/>
                <w:kern w:val="0"/>
                <w:sz w:val="18"/>
                <w:szCs w:val="18"/>
              </w:rPr>
              <w:t>学、康复医学、危重病学、肾脏病学、风湿免疫学、血管外科学、皮肤病与性病学、中医学、感染病学、口腔医学、急诊医学等专业；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09" w:type="dxa"/>
            <w:vMerge w:val="restart"/>
            <w:vAlign w:val="center"/>
          </w:tcPr>
          <w:p>
            <w:pPr>
              <w:widowControl/>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全国范围</w:t>
            </w:r>
          </w:p>
        </w:tc>
        <w:tc>
          <w:tcPr>
            <w:tcW w:w="1823" w:type="dxa"/>
            <w:vMerge w:val="restart"/>
            <w:vAlign w:val="center"/>
          </w:tcPr>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pPr>
              <w:widowControl/>
              <w:spacing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cs="Times New Roman"/>
                <w:kern w:val="0"/>
                <w:sz w:val="18"/>
                <w:szCs w:val="18"/>
              </w:rPr>
            </w:pP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22</w:t>
            </w:r>
          </w:p>
        </w:tc>
        <w:tc>
          <w:tcPr>
            <w:tcW w:w="2230" w:type="dxa"/>
            <w:vMerge w:val="continue"/>
            <w:vAlign w:val="center"/>
          </w:tcPr>
          <w:p>
            <w:pPr>
              <w:widowControl/>
              <w:spacing w:line="200" w:lineRule="exact"/>
              <w:jc w:val="left"/>
              <w:rPr>
                <w:rFonts w:ascii="Times New Roman" w:hAnsi="Times New Roman" w:cs="Times New Roman"/>
                <w:kern w:val="0"/>
                <w:sz w:val="18"/>
                <w:szCs w:val="18"/>
              </w:rPr>
            </w:pPr>
          </w:p>
        </w:tc>
        <w:tc>
          <w:tcPr>
            <w:tcW w:w="3436"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普外科学（肝胆胰外科）、胸外科学、麻醉学、呼吸</w:t>
            </w:r>
            <w:r>
              <w:rPr>
                <w:rFonts w:hint="eastAsia" w:ascii="Times New Roman" w:hAnsi="Times New Roman" w:cs="Times New Roman"/>
                <w:kern w:val="0"/>
                <w:sz w:val="18"/>
                <w:szCs w:val="18"/>
              </w:rPr>
              <w:t>病</w:t>
            </w:r>
            <w:r>
              <w:rPr>
                <w:rFonts w:ascii="Times New Roman" w:hAnsi="Times New Roman" w:cs="Times New Roman"/>
                <w:kern w:val="0"/>
                <w:sz w:val="18"/>
                <w:szCs w:val="18"/>
              </w:rPr>
              <w:t>学、骨科（创伤外科）、康复医学、危重病学、血管外科学、皮肤病与性病学、口腔医学</w:t>
            </w:r>
            <w:r>
              <w:rPr>
                <w:rFonts w:hint="eastAsia" w:ascii="Times New Roman" w:hAnsi="Times New Roman" w:cs="Times New Roman"/>
                <w:kern w:val="0"/>
                <w:sz w:val="18"/>
                <w:szCs w:val="18"/>
              </w:rPr>
              <w:t>（口腔颌面外科）</w:t>
            </w:r>
            <w:r>
              <w:rPr>
                <w:rFonts w:ascii="Times New Roman" w:hAnsi="Times New Roman" w:cs="Times New Roman"/>
                <w:kern w:val="0"/>
                <w:sz w:val="18"/>
                <w:szCs w:val="18"/>
              </w:rPr>
              <w:t>、急诊医学、营养学等专业；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输血科</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2230"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输血科室日常诊断、教学、科研等工作</w:t>
            </w:r>
          </w:p>
        </w:tc>
        <w:tc>
          <w:tcPr>
            <w:tcW w:w="3436"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临床医学、医学检验等专业；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医学影像学、核医学、超声医学</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2230" w:type="dxa"/>
            <w:vMerge w:val="restart"/>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各科日常诊断、教学、科研等工作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临床医学、影像医学与核医学等专业；</w:t>
            </w:r>
          </w:p>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2230" w:type="dxa"/>
            <w:vMerge w:val="continue"/>
            <w:vAlign w:val="center"/>
          </w:tcPr>
          <w:p>
            <w:pPr>
              <w:pStyle w:val="4"/>
              <w:spacing w:before="0" w:beforeAutospacing="0" w:after="0" w:afterAutospacing="0" w:line="200" w:lineRule="exact"/>
              <w:rPr>
                <w:rFonts w:ascii="Times New Roman" w:hAnsi="Times New Roman" w:cs="Times New Roman" w:eastAsiaTheme="minorEastAsia"/>
                <w:sz w:val="18"/>
                <w:szCs w:val="18"/>
              </w:rPr>
            </w:pP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临床医学、影像医学与核医学等专业；</w:t>
            </w:r>
          </w:p>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药学</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2230" w:type="dxa"/>
            <w:vMerge w:val="restart"/>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承担医院药学相关工作</w:t>
            </w: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药学相关专业；</w:t>
            </w:r>
          </w:p>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2230" w:type="dxa"/>
            <w:vMerge w:val="continue"/>
            <w:vAlign w:val="center"/>
          </w:tcPr>
          <w:p>
            <w:pPr>
              <w:pStyle w:val="4"/>
              <w:spacing w:before="0" w:beforeAutospacing="0" w:after="0" w:afterAutospacing="0" w:line="200" w:lineRule="exact"/>
              <w:rPr>
                <w:rFonts w:ascii="Times New Roman" w:hAnsi="Times New Roman" w:cs="Times New Roman" w:eastAsiaTheme="minorEastAsia"/>
                <w:sz w:val="18"/>
                <w:szCs w:val="18"/>
              </w:rPr>
            </w:pP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药学相关专业；</w:t>
            </w:r>
          </w:p>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科研</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2230"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承担医院日常科研等工作</w:t>
            </w:r>
          </w:p>
        </w:tc>
        <w:tc>
          <w:tcPr>
            <w:tcW w:w="3436"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临床医学、基础医学、生物化学与分子生物学、肿瘤生物信息学等专业；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护理</w:t>
            </w:r>
          </w:p>
        </w:tc>
        <w:tc>
          <w:tcPr>
            <w:tcW w:w="616" w:type="dxa"/>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tc>
        <w:tc>
          <w:tcPr>
            <w:tcW w:w="2230" w:type="dxa"/>
            <w:vMerge w:val="restart"/>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承担医院日常护理、管理工作</w:t>
            </w: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护理学专业；</w:t>
            </w:r>
          </w:p>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616" w:type="dxa"/>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4</w:t>
            </w:r>
          </w:p>
        </w:tc>
        <w:tc>
          <w:tcPr>
            <w:tcW w:w="2230" w:type="dxa"/>
            <w:vMerge w:val="continue"/>
            <w:vAlign w:val="center"/>
          </w:tcPr>
          <w:p>
            <w:pPr>
              <w:pStyle w:val="4"/>
              <w:spacing w:before="0" w:beforeAutospacing="0" w:after="0" w:afterAutospacing="0" w:line="200" w:lineRule="exact"/>
              <w:rPr>
                <w:rFonts w:ascii="Times New Roman" w:hAnsi="Times New Roman" w:cs="Times New Roman" w:eastAsiaTheme="minorEastAsia"/>
                <w:sz w:val="18"/>
                <w:szCs w:val="18"/>
              </w:rPr>
            </w:pP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护理学专业；</w:t>
            </w:r>
          </w:p>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restart"/>
            <w:vAlign w:val="center"/>
          </w:tcPr>
          <w:p>
            <w:pPr>
              <w:widowControl/>
              <w:spacing w:line="200" w:lineRule="exact"/>
              <w:jc w:val="center"/>
              <w:rPr>
                <w:rFonts w:ascii="Times New Roman" w:hAnsi="Times New Roman" w:cs="Times New Roman"/>
                <w:kern w:val="0"/>
                <w:sz w:val="18"/>
                <w:szCs w:val="18"/>
              </w:rPr>
            </w:pPr>
            <w:r>
              <w:rPr>
                <w:rFonts w:ascii="Times New Roman" w:hAnsi="Times New Roman" w:eastAsia="宋体" w:cs="Times New Roman"/>
                <w:kern w:val="0"/>
                <w:sz w:val="18"/>
                <w:szCs w:val="18"/>
              </w:rPr>
              <w:t>宁波</w:t>
            </w:r>
            <w:r>
              <w:rPr>
                <w:rFonts w:ascii="Times New Roman" w:hAnsi="Times New Roman" w:cs="Times New Roman"/>
                <w:kern w:val="0"/>
                <w:sz w:val="18"/>
                <w:szCs w:val="18"/>
              </w:rPr>
              <w:t>大学附属第一医院</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w:t>
            </w:r>
            <w:r>
              <w:rPr>
                <w:rFonts w:ascii="Times New Roman" w:hAnsi="Times New Roman" w:cs="Times New Roman"/>
                <w:kern w:val="0"/>
                <w:sz w:val="18"/>
                <w:szCs w:val="18"/>
              </w:rPr>
              <w:t>2</w:t>
            </w:r>
            <w:r>
              <w:rPr>
                <w:rFonts w:hint="eastAsia" w:ascii="Times New Roman" w:hAnsi="Times New Roman" w:cs="Times New Roman"/>
                <w:kern w:val="0"/>
                <w:sz w:val="18"/>
                <w:szCs w:val="18"/>
                <w:lang w:val="en-US" w:eastAsia="zh-CN"/>
              </w:rPr>
              <w:t>29</w:t>
            </w:r>
            <w:r>
              <w:rPr>
                <w:rFonts w:ascii="Times New Roman" w:hAnsi="Times New Roman" w:cs="Times New Roman"/>
                <w:kern w:val="0"/>
                <w:sz w:val="18"/>
                <w:szCs w:val="18"/>
              </w:rPr>
              <w:t>名</w:t>
            </w:r>
            <w:r>
              <w:rPr>
                <w:rFonts w:ascii="Times New Roman" w:hAnsi="Times New Roman" w:eastAsia="宋体" w:cs="Times New Roman"/>
                <w:kern w:val="0"/>
                <w:sz w:val="18"/>
                <w:szCs w:val="18"/>
              </w:rPr>
              <w:t>）</w:t>
            </w:r>
          </w:p>
        </w:tc>
        <w:tc>
          <w:tcPr>
            <w:tcW w:w="836"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临床</w:t>
            </w:r>
          </w:p>
        </w:tc>
        <w:tc>
          <w:tcPr>
            <w:tcW w:w="616" w:type="dxa"/>
            <w:vAlign w:val="center"/>
          </w:tcPr>
          <w:p>
            <w:pPr>
              <w:widowControl/>
              <w:spacing w:line="2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67</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各科日常诊断、治疗、教学、科研等工作</w:t>
            </w: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呼吸病学、消化</w:t>
            </w:r>
            <w:r>
              <w:rPr>
                <w:rFonts w:ascii="Times New Roman" w:hAnsi="Times New Roman" w:cs="Times New Roman"/>
                <w:kern w:val="0"/>
                <w:sz w:val="18"/>
                <w:szCs w:val="18"/>
              </w:rPr>
              <w:t>内科</w:t>
            </w:r>
            <w:r>
              <w:rPr>
                <w:rFonts w:ascii="Times New Roman" w:hAnsi="Times New Roman" w:eastAsia="宋体" w:cs="Times New Roman"/>
                <w:kern w:val="0"/>
                <w:sz w:val="18"/>
                <w:szCs w:val="18"/>
              </w:rPr>
              <w:t>学</w:t>
            </w:r>
            <w:r>
              <w:rPr>
                <w:rFonts w:ascii="Times New Roman" w:hAnsi="Times New Roman" w:cs="Times New Roman"/>
                <w:kern w:val="0"/>
                <w:sz w:val="18"/>
                <w:szCs w:val="18"/>
              </w:rPr>
              <w:t>、</w:t>
            </w:r>
            <w:r>
              <w:rPr>
                <w:rFonts w:ascii="Times New Roman" w:hAnsi="Times New Roman" w:eastAsia="宋体" w:cs="Times New Roman"/>
                <w:kern w:val="0"/>
                <w:sz w:val="18"/>
                <w:szCs w:val="18"/>
              </w:rPr>
              <w:t>心血管</w:t>
            </w:r>
            <w:r>
              <w:rPr>
                <w:rFonts w:ascii="Times New Roman" w:hAnsi="Times New Roman" w:cs="Times New Roman"/>
                <w:kern w:val="0"/>
                <w:sz w:val="18"/>
                <w:szCs w:val="18"/>
              </w:rPr>
              <w:t>内科学、</w:t>
            </w:r>
            <w:r>
              <w:rPr>
                <w:rFonts w:ascii="Times New Roman" w:hAnsi="Times New Roman" w:eastAsia="宋体" w:cs="Times New Roman"/>
                <w:kern w:val="0"/>
                <w:sz w:val="18"/>
                <w:szCs w:val="18"/>
              </w:rPr>
              <w:t>血液病学、感染病学、肾脏病学、肿瘤</w:t>
            </w:r>
            <w:r>
              <w:rPr>
                <w:rFonts w:ascii="Times New Roman" w:hAnsi="Times New Roman" w:cs="Times New Roman"/>
                <w:kern w:val="0"/>
                <w:sz w:val="18"/>
                <w:szCs w:val="18"/>
              </w:rPr>
              <w:t>放化疗内科学</w:t>
            </w:r>
            <w:r>
              <w:rPr>
                <w:rFonts w:ascii="Times New Roman" w:hAnsi="Times New Roman" w:eastAsia="宋体" w:cs="Times New Roman"/>
                <w:kern w:val="0"/>
                <w:sz w:val="18"/>
                <w:szCs w:val="18"/>
              </w:rPr>
              <w:t>、</w:t>
            </w:r>
            <w:r>
              <w:rPr>
                <w:rFonts w:ascii="Times New Roman" w:hAnsi="Times New Roman" w:cs="Times New Roman"/>
                <w:kern w:val="0"/>
                <w:sz w:val="18"/>
                <w:szCs w:val="18"/>
              </w:rPr>
              <w:t>精神病与精神卫生学、</w:t>
            </w:r>
            <w:r>
              <w:rPr>
                <w:rFonts w:ascii="Times New Roman" w:hAnsi="Times New Roman" w:eastAsia="宋体" w:cs="Times New Roman"/>
                <w:kern w:val="0"/>
                <w:sz w:val="18"/>
                <w:szCs w:val="18"/>
              </w:rPr>
              <w:t>急诊医学、重症医学、全科</w:t>
            </w:r>
            <w:r>
              <w:rPr>
                <w:rFonts w:ascii="Times New Roman" w:hAnsi="Times New Roman" w:cs="Times New Roman"/>
                <w:kern w:val="0"/>
                <w:sz w:val="18"/>
                <w:szCs w:val="18"/>
              </w:rPr>
              <w:t>医</w:t>
            </w:r>
            <w:r>
              <w:rPr>
                <w:rFonts w:ascii="Times New Roman" w:hAnsi="Times New Roman" w:eastAsia="宋体" w:cs="Times New Roman"/>
                <w:kern w:val="0"/>
                <w:sz w:val="18"/>
                <w:szCs w:val="18"/>
              </w:rPr>
              <w:t>学、儿科学、妇产科学、生殖医学、老年病学、内分泌学、</w:t>
            </w:r>
            <w:r>
              <w:rPr>
                <w:rFonts w:ascii="Times New Roman" w:hAnsi="Times New Roman" w:cs="Times New Roman"/>
                <w:kern w:val="0"/>
                <w:sz w:val="18"/>
                <w:szCs w:val="18"/>
              </w:rPr>
              <w:t>风湿免疫病学、</w:t>
            </w:r>
            <w:r>
              <w:rPr>
                <w:rFonts w:ascii="Times New Roman" w:hAnsi="Times New Roman" w:eastAsia="宋体" w:cs="Times New Roman"/>
                <w:kern w:val="0"/>
                <w:sz w:val="18"/>
                <w:szCs w:val="18"/>
              </w:rPr>
              <w:t>中医学、</w:t>
            </w:r>
            <w:r>
              <w:rPr>
                <w:rFonts w:ascii="Times New Roman" w:hAnsi="Times New Roman" w:cs="Times New Roman"/>
                <w:kern w:val="0"/>
                <w:sz w:val="18"/>
                <w:szCs w:val="18"/>
              </w:rPr>
              <w:t>创伤外科学</w:t>
            </w:r>
            <w:r>
              <w:rPr>
                <w:rFonts w:ascii="Times New Roman" w:hAnsi="Times New Roman" w:eastAsia="宋体" w:cs="Times New Roman"/>
                <w:kern w:val="0"/>
                <w:sz w:val="18"/>
                <w:szCs w:val="18"/>
              </w:rPr>
              <w:t>、骨</w:t>
            </w:r>
            <w:r>
              <w:rPr>
                <w:rFonts w:ascii="Times New Roman" w:hAnsi="Times New Roman" w:cs="Times New Roman"/>
                <w:kern w:val="0"/>
                <w:sz w:val="18"/>
                <w:szCs w:val="18"/>
              </w:rPr>
              <w:t>外</w:t>
            </w:r>
            <w:r>
              <w:rPr>
                <w:rFonts w:ascii="Times New Roman" w:hAnsi="Times New Roman" w:eastAsia="宋体" w:cs="Times New Roman"/>
                <w:kern w:val="0"/>
                <w:sz w:val="18"/>
                <w:szCs w:val="18"/>
              </w:rPr>
              <w:t>科学、神经外科学、神经病学、泌尿外科学、</w:t>
            </w:r>
            <w:r>
              <w:rPr>
                <w:rFonts w:ascii="Times New Roman" w:hAnsi="Times New Roman" w:cs="Times New Roman"/>
                <w:kern w:val="0"/>
                <w:sz w:val="18"/>
                <w:szCs w:val="18"/>
              </w:rPr>
              <w:t>外科学（普外）</w:t>
            </w:r>
            <w:r>
              <w:rPr>
                <w:rFonts w:ascii="Times New Roman" w:hAnsi="Times New Roman" w:eastAsia="宋体" w:cs="Times New Roman"/>
                <w:kern w:val="0"/>
                <w:sz w:val="18"/>
                <w:szCs w:val="18"/>
              </w:rPr>
              <w:t>、心胸外科学</w:t>
            </w:r>
            <w:r>
              <w:rPr>
                <w:rFonts w:ascii="Times New Roman" w:hAnsi="Times New Roman" w:cs="Times New Roman"/>
                <w:kern w:val="0"/>
                <w:sz w:val="18"/>
                <w:szCs w:val="18"/>
              </w:rPr>
              <w:t>、</w:t>
            </w:r>
            <w:r>
              <w:rPr>
                <w:rFonts w:ascii="Times New Roman" w:hAnsi="Times New Roman" w:eastAsia="宋体" w:cs="Times New Roman"/>
                <w:kern w:val="0"/>
                <w:sz w:val="18"/>
                <w:szCs w:val="18"/>
              </w:rPr>
              <w:t>血管外科学</w:t>
            </w:r>
            <w:r>
              <w:rPr>
                <w:rFonts w:ascii="Times New Roman" w:hAnsi="Times New Roman" w:cs="Times New Roman"/>
                <w:kern w:val="0"/>
                <w:sz w:val="18"/>
                <w:szCs w:val="18"/>
              </w:rPr>
              <w:t>、整形外科学、</w:t>
            </w:r>
            <w:r>
              <w:rPr>
                <w:rFonts w:ascii="Times New Roman" w:hAnsi="Times New Roman" w:eastAsia="宋体" w:cs="Times New Roman"/>
                <w:kern w:val="0"/>
                <w:sz w:val="18"/>
                <w:szCs w:val="18"/>
              </w:rPr>
              <w:t>皮肤病与性病学</w:t>
            </w:r>
            <w:r>
              <w:rPr>
                <w:rFonts w:ascii="Times New Roman" w:hAnsi="Times New Roman" w:cs="Times New Roman"/>
                <w:kern w:val="0"/>
                <w:sz w:val="18"/>
                <w:szCs w:val="18"/>
              </w:rPr>
              <w:t>、</w:t>
            </w:r>
            <w:r>
              <w:rPr>
                <w:rFonts w:ascii="Times New Roman" w:hAnsi="Times New Roman" w:eastAsia="宋体" w:cs="Times New Roman"/>
                <w:kern w:val="0"/>
                <w:sz w:val="18"/>
                <w:szCs w:val="18"/>
              </w:rPr>
              <w:t>口腔医学、眼科学、耳鼻咽喉头颈外科学、麻醉学</w:t>
            </w:r>
            <w:r>
              <w:rPr>
                <w:rFonts w:ascii="Times New Roman" w:hAnsi="Times New Roman" w:cs="Times New Roman"/>
                <w:kern w:val="0"/>
                <w:sz w:val="18"/>
                <w:szCs w:val="18"/>
              </w:rPr>
              <w:t>、康复医学</w:t>
            </w:r>
            <w:r>
              <w:rPr>
                <w:rFonts w:hint="eastAsia" w:ascii="Times New Roman" w:hAnsi="Times New Roman" w:cs="Times New Roman"/>
                <w:kern w:val="0"/>
                <w:sz w:val="18"/>
                <w:szCs w:val="18"/>
              </w:rPr>
              <w:t>等</w:t>
            </w:r>
            <w:r>
              <w:rPr>
                <w:rFonts w:ascii="Times New Roman" w:hAnsi="Times New Roman" w:eastAsia="宋体" w:cs="Times New Roman"/>
                <w:kern w:val="0"/>
                <w:sz w:val="18"/>
                <w:szCs w:val="18"/>
              </w:rPr>
              <w:t>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09" w:type="dxa"/>
            <w:vMerge w:val="restart"/>
            <w:vAlign w:val="center"/>
          </w:tcPr>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全国范围</w:t>
            </w:r>
          </w:p>
        </w:tc>
        <w:tc>
          <w:tcPr>
            <w:tcW w:w="1823" w:type="dxa"/>
            <w:vMerge w:val="restart"/>
            <w:vAlign w:val="center"/>
          </w:tcPr>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pPr>
              <w:widowControl/>
              <w:spacing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eastAsia="宋体" w:cs="Times New Roman"/>
                <w:kern w:val="0"/>
                <w:sz w:val="18"/>
                <w:szCs w:val="18"/>
              </w:rPr>
            </w:pP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107</w:t>
            </w:r>
          </w:p>
        </w:tc>
        <w:tc>
          <w:tcPr>
            <w:tcW w:w="2230" w:type="dxa"/>
            <w:vMerge w:val="continue"/>
            <w:vAlign w:val="center"/>
          </w:tcPr>
          <w:p>
            <w:pPr>
              <w:pStyle w:val="4"/>
              <w:spacing w:before="0" w:beforeAutospacing="0" w:after="0" w:afterAutospacing="0" w:line="200" w:lineRule="exact"/>
              <w:rPr>
                <w:rFonts w:ascii="Times New Roman" w:hAnsi="Times New Roman" w:cs="Times New Roman"/>
                <w:sz w:val="18"/>
                <w:szCs w:val="18"/>
              </w:rPr>
            </w:pP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呼吸病学、心血管</w:t>
            </w:r>
            <w:r>
              <w:rPr>
                <w:rFonts w:ascii="Times New Roman" w:hAnsi="Times New Roman" w:cs="Times New Roman"/>
                <w:kern w:val="0"/>
                <w:sz w:val="18"/>
                <w:szCs w:val="18"/>
              </w:rPr>
              <w:t>内科学、</w:t>
            </w:r>
            <w:r>
              <w:rPr>
                <w:rFonts w:ascii="Times New Roman" w:hAnsi="Times New Roman" w:eastAsia="宋体" w:cs="Times New Roman"/>
                <w:kern w:val="0"/>
                <w:sz w:val="18"/>
                <w:szCs w:val="18"/>
              </w:rPr>
              <w:t>血液病学、感染病学、肾脏病学、</w:t>
            </w:r>
            <w:r>
              <w:rPr>
                <w:rFonts w:ascii="Times New Roman" w:hAnsi="Times New Roman" w:cs="Times New Roman"/>
                <w:kern w:val="0"/>
                <w:sz w:val="18"/>
                <w:szCs w:val="18"/>
              </w:rPr>
              <w:t>精神病与精神卫生学、</w:t>
            </w:r>
            <w:r>
              <w:rPr>
                <w:rFonts w:ascii="Times New Roman" w:hAnsi="Times New Roman" w:eastAsia="宋体" w:cs="Times New Roman"/>
                <w:kern w:val="0"/>
                <w:sz w:val="18"/>
                <w:szCs w:val="18"/>
              </w:rPr>
              <w:t>急诊医学、重症医学、儿科学、妇产科学、老年病学、</w:t>
            </w:r>
            <w:r>
              <w:rPr>
                <w:rFonts w:ascii="Times New Roman" w:hAnsi="Times New Roman" w:cs="Times New Roman"/>
                <w:kern w:val="0"/>
                <w:sz w:val="18"/>
                <w:szCs w:val="18"/>
              </w:rPr>
              <w:t>风湿免疫病学、</w:t>
            </w:r>
            <w:r>
              <w:rPr>
                <w:rFonts w:ascii="Times New Roman" w:hAnsi="Times New Roman" w:eastAsia="宋体" w:cs="Times New Roman"/>
                <w:kern w:val="0"/>
                <w:sz w:val="18"/>
                <w:szCs w:val="18"/>
              </w:rPr>
              <w:t>中医学、</w:t>
            </w:r>
            <w:r>
              <w:rPr>
                <w:rFonts w:ascii="Times New Roman" w:hAnsi="Times New Roman" w:cs="Times New Roman"/>
                <w:kern w:val="0"/>
                <w:sz w:val="18"/>
                <w:szCs w:val="18"/>
              </w:rPr>
              <w:t>创伤外科学</w:t>
            </w:r>
            <w:r>
              <w:rPr>
                <w:rFonts w:ascii="Times New Roman" w:hAnsi="Times New Roman" w:eastAsia="宋体" w:cs="Times New Roman"/>
                <w:kern w:val="0"/>
                <w:sz w:val="18"/>
                <w:szCs w:val="18"/>
              </w:rPr>
              <w:t>、骨</w:t>
            </w:r>
            <w:r>
              <w:rPr>
                <w:rFonts w:ascii="Times New Roman" w:hAnsi="Times New Roman" w:cs="Times New Roman"/>
                <w:kern w:val="0"/>
                <w:sz w:val="18"/>
                <w:szCs w:val="18"/>
              </w:rPr>
              <w:t>外</w:t>
            </w:r>
            <w:r>
              <w:rPr>
                <w:rFonts w:ascii="Times New Roman" w:hAnsi="Times New Roman" w:eastAsia="宋体" w:cs="Times New Roman"/>
                <w:kern w:val="0"/>
                <w:sz w:val="18"/>
                <w:szCs w:val="18"/>
              </w:rPr>
              <w:t>科学、泌尿外科学、</w:t>
            </w:r>
            <w:r>
              <w:rPr>
                <w:rFonts w:ascii="Times New Roman" w:hAnsi="Times New Roman" w:cs="Times New Roman"/>
                <w:kern w:val="0"/>
                <w:sz w:val="18"/>
                <w:szCs w:val="18"/>
              </w:rPr>
              <w:t>外科学（普外）</w:t>
            </w:r>
            <w:r>
              <w:rPr>
                <w:rFonts w:ascii="Times New Roman" w:hAnsi="Times New Roman" w:eastAsia="宋体" w:cs="Times New Roman"/>
                <w:kern w:val="0"/>
                <w:sz w:val="18"/>
                <w:szCs w:val="18"/>
              </w:rPr>
              <w:t>、心外科学</w:t>
            </w:r>
            <w:r>
              <w:rPr>
                <w:rFonts w:ascii="Times New Roman" w:hAnsi="Times New Roman" w:cs="Times New Roman"/>
                <w:kern w:val="0"/>
                <w:sz w:val="18"/>
                <w:szCs w:val="18"/>
              </w:rPr>
              <w:t>、</w:t>
            </w:r>
            <w:r>
              <w:rPr>
                <w:rFonts w:ascii="Times New Roman" w:hAnsi="Times New Roman" w:eastAsia="宋体" w:cs="Times New Roman"/>
                <w:kern w:val="0"/>
                <w:sz w:val="18"/>
                <w:szCs w:val="18"/>
              </w:rPr>
              <w:t>血管外科学</w:t>
            </w:r>
            <w:r>
              <w:rPr>
                <w:rFonts w:ascii="Times New Roman" w:hAnsi="Times New Roman" w:cs="Times New Roman"/>
                <w:kern w:val="0"/>
                <w:sz w:val="18"/>
                <w:szCs w:val="18"/>
              </w:rPr>
              <w:t>、整形外科学、</w:t>
            </w:r>
            <w:r>
              <w:rPr>
                <w:rFonts w:ascii="Times New Roman" w:hAnsi="Times New Roman" w:eastAsia="宋体" w:cs="Times New Roman"/>
                <w:kern w:val="0"/>
                <w:sz w:val="18"/>
                <w:szCs w:val="18"/>
              </w:rPr>
              <w:t>口腔医学、眼科学、麻醉学</w:t>
            </w:r>
            <w:r>
              <w:rPr>
                <w:rFonts w:ascii="Times New Roman" w:hAnsi="Times New Roman" w:cs="Times New Roman"/>
                <w:kern w:val="0"/>
                <w:sz w:val="18"/>
                <w:szCs w:val="18"/>
              </w:rPr>
              <w:t>、康复医学</w:t>
            </w:r>
            <w:r>
              <w:rPr>
                <w:rFonts w:hint="eastAsia" w:ascii="Times New Roman" w:hAnsi="Times New Roman" w:cs="Times New Roman"/>
                <w:kern w:val="0"/>
                <w:sz w:val="18"/>
                <w:szCs w:val="18"/>
              </w:rPr>
              <w:t>等</w:t>
            </w:r>
            <w:r>
              <w:rPr>
                <w:rFonts w:ascii="Times New Roman" w:hAnsi="Times New Roman" w:eastAsia="宋体" w:cs="Times New Roman"/>
                <w:kern w:val="0"/>
                <w:sz w:val="18"/>
                <w:szCs w:val="18"/>
              </w:rPr>
              <w:t>专业；</w:t>
            </w:r>
          </w:p>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检验</w:t>
            </w: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2230"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各科日常诊断、教学、科研等工作</w:t>
            </w:r>
          </w:p>
        </w:tc>
        <w:tc>
          <w:tcPr>
            <w:tcW w:w="3436"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eastAsia="宋体" w:cs="Times New Roman"/>
                <w:kern w:val="0"/>
                <w:sz w:val="18"/>
                <w:szCs w:val="18"/>
              </w:rPr>
              <w:t>临床检验诊断学</w:t>
            </w:r>
            <w:r>
              <w:rPr>
                <w:rFonts w:ascii="Times New Roman" w:hAnsi="Times New Roman" w:cs="Times New Roman"/>
                <w:kern w:val="0"/>
                <w:sz w:val="18"/>
                <w:szCs w:val="18"/>
              </w:rPr>
              <w:t>、基础医学类专业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输血</w:t>
            </w: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2230"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各科日常诊断、教学、科研等工作</w:t>
            </w: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临床检验诊断学</w:t>
            </w:r>
            <w:r>
              <w:rPr>
                <w:rFonts w:ascii="Times New Roman" w:hAnsi="Times New Roman" w:cs="Times New Roman"/>
                <w:kern w:val="0"/>
                <w:sz w:val="18"/>
                <w:szCs w:val="18"/>
              </w:rPr>
              <w:t>、基础医学类专业</w:t>
            </w:r>
            <w:r>
              <w:rPr>
                <w:rFonts w:ascii="Times New Roman" w:hAnsi="Times New Roman" w:eastAsia="宋体" w:cs="Times New Roman"/>
                <w:kern w:val="0"/>
                <w:sz w:val="18"/>
                <w:szCs w:val="18"/>
              </w:rPr>
              <w:t>；</w:t>
            </w:r>
          </w:p>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核医学</w:t>
            </w: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230"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各科日常诊断、教学、科研等工作</w:t>
            </w:r>
          </w:p>
        </w:tc>
        <w:tc>
          <w:tcPr>
            <w:tcW w:w="3436"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eastAsia="宋体" w:cs="Times New Roman"/>
                <w:kern w:val="0"/>
                <w:sz w:val="18"/>
                <w:szCs w:val="18"/>
              </w:rPr>
              <w:t>影像医学与核医学专业</w:t>
            </w:r>
            <w:r>
              <w:rPr>
                <w:rFonts w:ascii="Times New Roman" w:hAnsi="Times New Roman" w:cs="Times New Roman"/>
                <w:kern w:val="0"/>
                <w:sz w:val="18"/>
                <w:szCs w:val="18"/>
              </w:rPr>
              <w:t>；</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影像</w:t>
            </w:r>
          </w:p>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介入</w:t>
            </w:r>
          </w:p>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超声</w:t>
            </w: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2230"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各科日常诊断、教学、科研等工作</w:t>
            </w:r>
          </w:p>
        </w:tc>
        <w:tc>
          <w:tcPr>
            <w:tcW w:w="3436" w:type="dxa"/>
            <w:vAlign w:val="center"/>
          </w:tcPr>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临床医学类、</w:t>
            </w:r>
            <w:r>
              <w:rPr>
                <w:rFonts w:ascii="Times New Roman" w:hAnsi="Times New Roman" w:eastAsia="宋体" w:cs="Times New Roman"/>
                <w:kern w:val="0"/>
                <w:sz w:val="18"/>
                <w:szCs w:val="18"/>
              </w:rPr>
              <w:t>影像医学与核医学</w:t>
            </w:r>
            <w:r>
              <w:rPr>
                <w:rFonts w:ascii="Times New Roman" w:hAnsi="Times New Roman" w:cs="Times New Roman"/>
                <w:kern w:val="0"/>
                <w:sz w:val="18"/>
                <w:szCs w:val="18"/>
              </w:rPr>
              <w:t>、超声医学</w:t>
            </w:r>
            <w:r>
              <w:rPr>
                <w:rFonts w:ascii="Times New Roman" w:hAnsi="Times New Roman" w:eastAsia="宋体" w:cs="Times New Roman"/>
                <w:kern w:val="0"/>
                <w:sz w:val="18"/>
                <w:szCs w:val="18"/>
              </w:rPr>
              <w:t>专业</w:t>
            </w:r>
            <w:r>
              <w:rPr>
                <w:rFonts w:ascii="Times New Roman" w:hAnsi="Times New Roman" w:cs="Times New Roman"/>
                <w:kern w:val="0"/>
                <w:sz w:val="18"/>
                <w:szCs w:val="18"/>
              </w:rPr>
              <w:t>；</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药学</w:t>
            </w: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2230"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承担医院药学相关工作</w:t>
            </w: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药学相关专业；</w:t>
            </w:r>
          </w:p>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科研</w:t>
            </w: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18</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承担医院日常科研等工作</w:t>
            </w: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临床医学</w:t>
            </w:r>
            <w:r>
              <w:rPr>
                <w:rFonts w:ascii="Times New Roman" w:hAnsi="Times New Roman" w:cs="Times New Roman"/>
                <w:kern w:val="0"/>
                <w:sz w:val="18"/>
                <w:szCs w:val="18"/>
              </w:rPr>
              <w:t>类</w:t>
            </w:r>
            <w:r>
              <w:rPr>
                <w:rFonts w:ascii="Times New Roman" w:hAnsi="Times New Roman" w:eastAsia="宋体" w:cs="Times New Roman"/>
                <w:kern w:val="0"/>
                <w:sz w:val="18"/>
                <w:szCs w:val="18"/>
              </w:rPr>
              <w:t>、基础医学</w:t>
            </w:r>
            <w:r>
              <w:rPr>
                <w:rFonts w:ascii="Times New Roman" w:hAnsi="Times New Roman" w:cs="Times New Roman"/>
                <w:kern w:val="0"/>
                <w:sz w:val="18"/>
                <w:szCs w:val="18"/>
              </w:rPr>
              <w:t>类、公共卫生与预防医学类、生物学类、生物医学工程类、材料科学与工程类等相关</w:t>
            </w:r>
            <w:r>
              <w:rPr>
                <w:rFonts w:ascii="Times New Roman" w:hAnsi="Times New Roman" w:eastAsia="宋体" w:cs="Times New Roman"/>
                <w:kern w:val="0"/>
                <w:sz w:val="18"/>
                <w:szCs w:val="18"/>
              </w:rPr>
              <w:t>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hint="eastAsia" w:ascii="Times New Roman" w:hAnsi="Times New Roman" w:cs="Times New Roman"/>
                <w:kern w:val="0"/>
                <w:sz w:val="18"/>
                <w:szCs w:val="18"/>
              </w:rPr>
              <w:t>2</w:t>
            </w:r>
          </w:p>
        </w:tc>
        <w:tc>
          <w:tcPr>
            <w:tcW w:w="2230" w:type="dxa"/>
            <w:vMerge w:val="continue"/>
            <w:vAlign w:val="center"/>
          </w:tcPr>
          <w:p>
            <w:pPr>
              <w:pStyle w:val="4"/>
              <w:spacing w:before="0" w:beforeAutospacing="0" w:after="0" w:afterAutospacing="0" w:line="200" w:lineRule="exact"/>
              <w:rPr>
                <w:rFonts w:ascii="Times New Roman" w:hAnsi="Times New Roman" w:cs="Times New Roman"/>
                <w:sz w:val="18"/>
                <w:szCs w:val="18"/>
              </w:rPr>
            </w:pP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临床医学</w:t>
            </w:r>
            <w:r>
              <w:rPr>
                <w:rFonts w:ascii="Times New Roman" w:hAnsi="Times New Roman" w:cs="Times New Roman"/>
                <w:kern w:val="0"/>
                <w:sz w:val="18"/>
                <w:szCs w:val="18"/>
              </w:rPr>
              <w:t>类</w:t>
            </w:r>
            <w:r>
              <w:rPr>
                <w:rFonts w:ascii="Times New Roman" w:hAnsi="Times New Roman" w:eastAsia="宋体" w:cs="Times New Roman"/>
                <w:kern w:val="0"/>
                <w:sz w:val="18"/>
                <w:szCs w:val="18"/>
              </w:rPr>
              <w:t>、基础医学</w:t>
            </w:r>
            <w:r>
              <w:rPr>
                <w:rFonts w:ascii="Times New Roman" w:hAnsi="Times New Roman" w:cs="Times New Roman"/>
                <w:kern w:val="0"/>
                <w:sz w:val="18"/>
                <w:szCs w:val="18"/>
              </w:rPr>
              <w:t>类、公共卫生与预防医学类、生物学类、生物医学工程类、材料科学与工程类等相关</w:t>
            </w:r>
            <w:r>
              <w:rPr>
                <w:rFonts w:ascii="Times New Roman" w:hAnsi="Times New Roman" w:eastAsia="宋体" w:cs="Times New Roman"/>
                <w:kern w:val="0"/>
                <w:sz w:val="18"/>
                <w:szCs w:val="18"/>
              </w:rPr>
              <w:t>专业；</w:t>
            </w:r>
          </w:p>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护理</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承担医院</w:t>
            </w:r>
            <w:r>
              <w:rPr>
                <w:rFonts w:ascii="Times New Roman" w:hAnsi="Times New Roman" w:cs="Times New Roman"/>
                <w:kern w:val="0"/>
                <w:sz w:val="18"/>
                <w:szCs w:val="18"/>
              </w:rPr>
              <w:t>日常</w:t>
            </w:r>
            <w:r>
              <w:rPr>
                <w:rFonts w:ascii="Times New Roman" w:hAnsi="Times New Roman" w:eastAsia="宋体" w:cs="Times New Roman"/>
                <w:kern w:val="0"/>
                <w:sz w:val="18"/>
                <w:szCs w:val="18"/>
              </w:rPr>
              <w:t>护理</w:t>
            </w:r>
            <w:r>
              <w:rPr>
                <w:rFonts w:ascii="Times New Roman" w:hAnsi="Times New Roman" w:cs="Times New Roman"/>
                <w:kern w:val="0"/>
                <w:sz w:val="18"/>
                <w:szCs w:val="18"/>
              </w:rPr>
              <w:t>、</w:t>
            </w:r>
            <w:r>
              <w:rPr>
                <w:rFonts w:ascii="Times New Roman" w:hAnsi="Times New Roman" w:eastAsia="宋体" w:cs="Times New Roman"/>
                <w:kern w:val="0"/>
                <w:sz w:val="18"/>
                <w:szCs w:val="18"/>
              </w:rPr>
              <w:t>管理工作</w:t>
            </w: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护理学专业；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61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10</w:t>
            </w:r>
          </w:p>
        </w:tc>
        <w:tc>
          <w:tcPr>
            <w:tcW w:w="2230" w:type="dxa"/>
            <w:vMerge w:val="continue"/>
            <w:vAlign w:val="center"/>
          </w:tcPr>
          <w:p>
            <w:pPr>
              <w:widowControl/>
              <w:spacing w:line="200" w:lineRule="exact"/>
              <w:jc w:val="left"/>
              <w:rPr>
                <w:rFonts w:ascii="Times New Roman" w:hAnsi="Times New Roman" w:eastAsia="宋体" w:cs="Times New Roman"/>
                <w:kern w:val="0"/>
                <w:sz w:val="18"/>
                <w:szCs w:val="18"/>
              </w:rPr>
            </w:pP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护理学专业；</w:t>
            </w:r>
          </w:p>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0" w:type="auto"/>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w:t>
            </w:r>
          </w:p>
        </w:tc>
        <w:tc>
          <w:tcPr>
            <w:tcW w:w="0" w:type="auto"/>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1</w:t>
            </w:r>
          </w:p>
        </w:tc>
        <w:tc>
          <w:tcPr>
            <w:tcW w:w="2230"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承担医院信息管理</w:t>
            </w:r>
            <w:r>
              <w:rPr>
                <w:rFonts w:ascii="Times New Roman" w:hAnsi="Times New Roman" w:cs="Times New Roman"/>
                <w:kern w:val="0"/>
                <w:sz w:val="18"/>
                <w:szCs w:val="18"/>
              </w:rPr>
              <w:t>及科研</w:t>
            </w:r>
            <w:r>
              <w:rPr>
                <w:rFonts w:ascii="Times New Roman" w:hAnsi="Times New Roman" w:eastAsia="宋体" w:cs="Times New Roman"/>
                <w:kern w:val="0"/>
                <w:sz w:val="18"/>
                <w:szCs w:val="18"/>
              </w:rPr>
              <w:t>工作</w:t>
            </w:r>
          </w:p>
        </w:tc>
        <w:tc>
          <w:tcPr>
            <w:tcW w:w="3436"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计算机等专业；</w:t>
            </w:r>
          </w:p>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1069" w:type="dxa"/>
            <w:vMerge w:val="restart"/>
            <w:vAlign w:val="center"/>
          </w:tcPr>
          <w:p>
            <w:pPr>
              <w:spacing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宁波市第二医院</w:t>
            </w:r>
          </w:p>
          <w:p>
            <w:pPr>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Cs/>
                <w:color w:val="000000" w:themeColor="text1"/>
                <w:sz w:val="18"/>
                <w:szCs w:val="18"/>
                <w14:textFill>
                  <w14:solidFill>
                    <w14:schemeClr w14:val="tx1"/>
                  </w14:solidFill>
                </w14:textFill>
              </w:rPr>
              <w:t>（113名）</w:t>
            </w:r>
          </w:p>
        </w:tc>
        <w:tc>
          <w:tcPr>
            <w:tcW w:w="836"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临床</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3</w:t>
            </w:r>
            <w:r>
              <w:rPr>
                <w:rFonts w:hint="eastAsia" w:ascii="Times New Roman" w:hAnsi="Times New Roman" w:cs="Times New Roman"/>
                <w:bCs/>
                <w:color w:val="000000" w:themeColor="text1"/>
                <w:sz w:val="18"/>
                <w:szCs w:val="18"/>
                <w14:textFill>
                  <w14:solidFill>
                    <w14:schemeClr w14:val="tx1"/>
                  </w14:solidFill>
                </w14:textFill>
              </w:rPr>
              <w:t>4</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各科日常诊断、治疗、教学、科研等工作</w:t>
            </w:r>
          </w:p>
        </w:tc>
        <w:tc>
          <w:tcPr>
            <w:tcW w:w="3436" w:type="dxa"/>
            <w:vAlign w:val="center"/>
          </w:tcPr>
          <w:p>
            <w:pPr>
              <w:widowControl/>
              <w:spacing w:line="200" w:lineRule="exact"/>
              <w:jc w:val="left"/>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乳腺外科学、肛肠外科学、神经外科学、普外科学、心胸外科学、血管外科学、泌尿外科学、妇产科学、骨外科学、烧伤外科学、口腔医学、耳鼻咽喉科学、眼科学、老年病学、消化内科学、心血管内科学、呼吸内科学、肾脏病学、肿瘤学、神经病学、风湿免疫学、感染病学、全科医学、麻醉学、急诊医学、重症医学、皮肤病与性病学、</w:t>
            </w:r>
            <w:r>
              <w:rPr>
                <w:rFonts w:ascii="Times New Roman" w:hAnsi="Times New Roman" w:cs="Times New Roman"/>
                <w:bCs/>
                <w:sz w:val="18"/>
                <w:szCs w:val="18"/>
              </w:rPr>
              <w:t>中西医结合临床、中医内科学</w:t>
            </w:r>
            <w:r>
              <w:rPr>
                <w:rFonts w:hint="eastAsia" w:ascii="Times New Roman" w:hAnsi="Times New Roman" w:cs="Times New Roman"/>
                <w:bCs/>
                <w:sz w:val="18"/>
                <w:szCs w:val="18"/>
              </w:rPr>
              <w:t>等专业</w:t>
            </w:r>
            <w:r>
              <w:rPr>
                <w:rFonts w:ascii="Times New Roman" w:hAnsi="Times New Roman" w:cs="Times New Roman"/>
                <w:bCs/>
                <w:color w:val="000000" w:themeColor="text1"/>
                <w:sz w:val="18"/>
                <w:szCs w:val="18"/>
                <w14:textFill>
                  <w14:solidFill>
                    <w14:schemeClr w14:val="tx1"/>
                  </w14:solidFill>
                </w14:textFill>
              </w:rPr>
              <w:t>；</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09" w:type="dxa"/>
            <w:vMerge w:val="restart"/>
            <w:vAlign w:val="center"/>
          </w:tcPr>
          <w:p>
            <w:pPr>
              <w:widowControl/>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全国范围</w:t>
            </w:r>
          </w:p>
        </w:tc>
        <w:tc>
          <w:tcPr>
            <w:tcW w:w="1823" w:type="dxa"/>
            <w:vMerge w:val="restart"/>
            <w:vAlign w:val="center"/>
          </w:tcPr>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pPr>
              <w:widowControl/>
              <w:spacing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eastAsia="宋体" w:cs="Times New Roman"/>
                <w:kern w:val="0"/>
                <w:sz w:val="18"/>
                <w:szCs w:val="18"/>
              </w:rPr>
            </w:pPr>
          </w:p>
        </w:tc>
        <w:tc>
          <w:tcPr>
            <w:tcW w:w="616" w:type="dxa"/>
            <w:vAlign w:val="center"/>
          </w:tcPr>
          <w:p>
            <w:pPr>
              <w:widowControl/>
              <w:spacing w:line="200" w:lineRule="exact"/>
              <w:jc w:val="center"/>
              <w:rPr>
                <w:rFonts w:ascii="Times New Roman" w:hAnsi="Times New Roman" w:cs="Times New Roman"/>
                <w:kern w:val="0"/>
                <w:sz w:val="18"/>
                <w:szCs w:val="18"/>
              </w:rPr>
            </w:pPr>
            <w:r>
              <w:rPr>
                <w:rFonts w:hint="eastAsia" w:ascii="Times New Roman" w:hAnsi="Times New Roman" w:cs="Times New Roman"/>
                <w:bCs/>
                <w:color w:val="000000" w:themeColor="text1"/>
                <w:sz w:val="18"/>
                <w:szCs w:val="18"/>
                <w14:textFill>
                  <w14:solidFill>
                    <w14:schemeClr w14:val="tx1"/>
                  </w14:solidFill>
                </w14:textFill>
              </w:rPr>
              <w:t>49</w:t>
            </w:r>
          </w:p>
        </w:tc>
        <w:tc>
          <w:tcPr>
            <w:tcW w:w="2230" w:type="dxa"/>
            <w:vMerge w:val="continue"/>
            <w:vAlign w:val="center"/>
          </w:tcPr>
          <w:p>
            <w:pPr>
              <w:widowControl/>
              <w:spacing w:line="200" w:lineRule="exact"/>
              <w:jc w:val="left"/>
              <w:rPr>
                <w:rFonts w:ascii="Times New Roman" w:hAnsi="Times New Roman" w:eastAsia="宋体" w:cs="Times New Roman"/>
                <w:kern w:val="0"/>
                <w:sz w:val="18"/>
                <w:szCs w:val="18"/>
              </w:rPr>
            </w:pPr>
          </w:p>
        </w:tc>
        <w:tc>
          <w:tcPr>
            <w:tcW w:w="3436" w:type="dxa"/>
            <w:vAlign w:val="center"/>
          </w:tcPr>
          <w:p>
            <w:pPr>
              <w:widowControl/>
              <w:spacing w:line="200" w:lineRule="exact"/>
              <w:jc w:val="left"/>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神经外科学、胸外科学、心脏外科学、血管外科学、泌尿外科学、妇产科学、骨外科学、烧伤外科学、耳鼻咽喉科学、急诊医学、重症医学、消化内科学、心血管内科学、呼吸内科学、肾脏病学、肿瘤学、神经病学、内分泌学、风湿免疫学、感染病学、麻醉学、疼痛学、皮肤病与性病学、儿科学、</w:t>
            </w:r>
            <w:r>
              <w:rPr>
                <w:rFonts w:ascii="Times New Roman" w:hAnsi="Times New Roman" w:cs="Times New Roman"/>
                <w:bCs/>
                <w:sz w:val="18"/>
                <w:szCs w:val="18"/>
              </w:rPr>
              <w:t>中西医结合临床、中医内科学、超声医学、放射影像学、影像医学与核医学</w:t>
            </w:r>
            <w:r>
              <w:rPr>
                <w:rFonts w:ascii="Times New Roman" w:hAnsi="Times New Roman" w:cs="Times New Roman"/>
                <w:bCs/>
                <w:color w:val="000000" w:themeColor="text1"/>
                <w:sz w:val="18"/>
                <w:szCs w:val="18"/>
                <w14:textFill>
                  <w14:solidFill>
                    <w14:schemeClr w14:val="tx1"/>
                  </w14:solidFill>
                </w14:textFill>
              </w:rPr>
              <w:t>等专业；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pStyle w:val="4"/>
              <w:spacing w:before="0" w:beforeAutospacing="0" w:after="0" w:afterAutospacing="0" w:line="240" w:lineRule="exact"/>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放射</w:t>
            </w:r>
          </w:p>
          <w:p>
            <w:pPr>
              <w:pStyle w:val="4"/>
              <w:spacing w:before="0" w:beforeAutospacing="0" w:after="0" w:afterAutospacing="0" w:line="240" w:lineRule="exact"/>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超声</w:t>
            </w:r>
          </w:p>
          <w:p>
            <w:pPr>
              <w:widowControl/>
              <w:spacing w:line="200" w:lineRule="exact"/>
              <w:jc w:val="center"/>
              <w:rPr>
                <w:rFonts w:ascii="Times New Roman" w:hAnsi="Times New Roman" w:eastAsia="宋体" w:cs="Times New Roman"/>
                <w:kern w:val="0"/>
                <w:sz w:val="18"/>
                <w:szCs w:val="18"/>
              </w:rPr>
            </w:pPr>
            <w:r>
              <w:rPr>
                <w:rFonts w:hint="eastAsia"/>
                <w:color w:val="000000" w:themeColor="text1"/>
                <w:sz w:val="20"/>
                <w:szCs w:val="20"/>
                <w14:textFill>
                  <w14:solidFill>
                    <w14:schemeClr w14:val="tx1"/>
                  </w14:solidFill>
                </w14:textFill>
              </w:rPr>
              <w:t>介入</w:t>
            </w:r>
          </w:p>
        </w:tc>
        <w:tc>
          <w:tcPr>
            <w:tcW w:w="616" w:type="dxa"/>
            <w:vAlign w:val="center"/>
          </w:tcPr>
          <w:p>
            <w:pPr>
              <w:widowControl/>
              <w:spacing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4</w:t>
            </w:r>
          </w:p>
        </w:tc>
        <w:tc>
          <w:tcPr>
            <w:tcW w:w="2230" w:type="dxa"/>
            <w:vMerge w:val="restart"/>
            <w:vAlign w:val="center"/>
          </w:tcPr>
          <w:p>
            <w:pPr>
              <w:widowControl/>
              <w:spacing w:line="200" w:lineRule="exact"/>
              <w:rPr>
                <w:rFonts w:ascii="Times New Roman" w:hAnsi="Times New Roman" w:cs="Times New Roman"/>
                <w:color w:val="000000" w:themeColor="text1"/>
                <w:kern w:val="0"/>
                <w:sz w:val="18"/>
                <w:szCs w:val="18"/>
                <w14:textFill>
                  <w14:solidFill>
                    <w14:schemeClr w14:val="tx1"/>
                  </w14:solidFill>
                </w14:textFill>
              </w:rPr>
            </w:pPr>
            <w:r>
              <w:rPr>
                <w:rFonts w:hint="eastAsia"/>
                <w:color w:val="000000" w:themeColor="text1"/>
                <w:sz w:val="20"/>
                <w:szCs w:val="20"/>
                <w14:textFill>
                  <w14:solidFill>
                    <w14:schemeClr w14:val="tx1"/>
                  </w14:solidFill>
                </w14:textFill>
              </w:rPr>
              <w:t>各科日常诊断、教学、科研等工作</w:t>
            </w:r>
          </w:p>
        </w:tc>
        <w:tc>
          <w:tcPr>
            <w:tcW w:w="3436" w:type="dxa"/>
            <w:vAlign w:val="center"/>
          </w:tcPr>
          <w:p>
            <w:pPr>
              <w:widowControl/>
              <w:spacing w:line="200" w:lineRule="exact"/>
              <w:jc w:val="left"/>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sz w:val="18"/>
                <w:szCs w:val="18"/>
              </w:rPr>
              <w:t>超声医学、放射影像学、影像医学与核医学</w:t>
            </w:r>
            <w:r>
              <w:rPr>
                <w:rFonts w:hint="eastAsia" w:ascii="Times New Roman" w:hAnsi="Times New Roman" w:cs="Times New Roman"/>
                <w:bCs/>
                <w:sz w:val="18"/>
                <w:szCs w:val="18"/>
              </w:rPr>
              <w:t>、临床医学</w:t>
            </w:r>
            <w:r>
              <w:rPr>
                <w:rFonts w:ascii="Times New Roman" w:hAnsi="Times New Roman" w:cs="Times New Roman"/>
                <w:bCs/>
                <w:color w:val="000000" w:themeColor="text1"/>
                <w:sz w:val="18"/>
                <w:szCs w:val="18"/>
                <w14:textFill>
                  <w14:solidFill>
                    <w14:schemeClr w14:val="tx1"/>
                  </w14:solidFill>
                </w14:textFill>
              </w:rPr>
              <w:t>等专业</w:t>
            </w:r>
            <w:r>
              <w:rPr>
                <w:rFonts w:hint="eastAsia" w:ascii="Times New Roman" w:hAnsi="Times New Roman" w:cs="Times New Roman"/>
                <w:bCs/>
                <w:color w:val="000000" w:themeColor="text1"/>
                <w:sz w:val="18"/>
                <w:szCs w:val="18"/>
                <w14:textFill>
                  <w14:solidFill>
                    <w14:schemeClr w14:val="tx1"/>
                  </w14:solidFill>
                </w14:textFill>
              </w:rPr>
              <w:t>；</w:t>
            </w:r>
          </w:p>
          <w:p>
            <w:pPr>
              <w:widowControl/>
              <w:spacing w:line="200" w:lineRule="exact"/>
              <w:jc w:val="left"/>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pStyle w:val="4"/>
              <w:spacing w:before="0" w:beforeAutospacing="0" w:after="0" w:afterAutospacing="0" w:line="240" w:lineRule="exact"/>
              <w:jc w:val="center"/>
              <w:rPr>
                <w:rFonts w:hint="eastAsia"/>
                <w:color w:val="000000" w:themeColor="text1"/>
                <w:sz w:val="20"/>
                <w:szCs w:val="20"/>
                <w14:textFill>
                  <w14:solidFill>
                    <w14:schemeClr w14:val="tx1"/>
                  </w14:solidFill>
                </w14:textFill>
              </w:rPr>
            </w:pPr>
          </w:p>
        </w:tc>
        <w:tc>
          <w:tcPr>
            <w:tcW w:w="616" w:type="dxa"/>
            <w:vAlign w:val="center"/>
          </w:tcPr>
          <w:p>
            <w:pPr>
              <w:widowControl/>
              <w:spacing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6</w:t>
            </w:r>
          </w:p>
        </w:tc>
        <w:tc>
          <w:tcPr>
            <w:tcW w:w="2230" w:type="dxa"/>
            <w:vMerge w:val="continue"/>
            <w:vAlign w:val="center"/>
          </w:tcPr>
          <w:p>
            <w:pPr>
              <w:widowControl/>
              <w:spacing w:line="200" w:lineRule="exact"/>
              <w:rPr>
                <w:rFonts w:ascii="Times New Roman" w:hAnsi="Times New Roman" w:cs="Times New Roman"/>
                <w:color w:val="000000" w:themeColor="text1"/>
                <w:kern w:val="0"/>
                <w:sz w:val="18"/>
                <w:szCs w:val="18"/>
                <w14:textFill>
                  <w14:solidFill>
                    <w14:schemeClr w14:val="tx1"/>
                  </w14:solidFill>
                </w14:textFill>
              </w:rPr>
            </w:pPr>
          </w:p>
        </w:tc>
        <w:tc>
          <w:tcPr>
            <w:tcW w:w="3436" w:type="dxa"/>
            <w:vAlign w:val="center"/>
          </w:tcPr>
          <w:p>
            <w:pPr>
              <w:widowControl/>
              <w:spacing w:line="200" w:lineRule="exact"/>
              <w:jc w:val="left"/>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sz w:val="18"/>
                <w:szCs w:val="18"/>
              </w:rPr>
              <w:t>超声医学、放射影像学、影像医学与核医学</w:t>
            </w:r>
            <w:r>
              <w:rPr>
                <w:rFonts w:hint="eastAsia" w:ascii="Times New Roman" w:hAnsi="Times New Roman" w:cs="Times New Roman"/>
                <w:bCs/>
                <w:sz w:val="18"/>
                <w:szCs w:val="18"/>
              </w:rPr>
              <w:t>、临床医学</w:t>
            </w:r>
            <w:r>
              <w:rPr>
                <w:rFonts w:ascii="Times New Roman" w:hAnsi="Times New Roman" w:cs="Times New Roman"/>
                <w:bCs/>
                <w:color w:val="000000" w:themeColor="text1"/>
                <w:sz w:val="18"/>
                <w:szCs w:val="18"/>
                <w14:textFill>
                  <w14:solidFill>
                    <w14:schemeClr w14:val="tx1"/>
                  </w14:solidFill>
                </w14:textFill>
              </w:rPr>
              <w:t>等专业</w:t>
            </w:r>
            <w:r>
              <w:rPr>
                <w:rFonts w:hint="eastAsia" w:ascii="Times New Roman" w:hAnsi="Times New Roman" w:cs="Times New Roman"/>
                <w:bCs/>
                <w:color w:val="000000" w:themeColor="text1"/>
                <w:sz w:val="18"/>
                <w:szCs w:val="18"/>
                <w14:textFill>
                  <w14:solidFill>
                    <w14:schemeClr w14:val="tx1"/>
                  </w14:solidFill>
                </w14:textFill>
              </w:rPr>
              <w:t>；</w:t>
            </w:r>
          </w:p>
          <w:p>
            <w:pPr>
              <w:widowControl/>
              <w:spacing w:line="200" w:lineRule="exact"/>
              <w:jc w:val="left"/>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检验</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2</w:t>
            </w:r>
          </w:p>
        </w:tc>
        <w:tc>
          <w:tcPr>
            <w:tcW w:w="2230" w:type="dxa"/>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sz w:val="18"/>
                <w:szCs w:val="18"/>
                <w14:textFill>
                  <w14:solidFill>
                    <w14:schemeClr w14:val="tx1"/>
                  </w14:solidFill>
                </w14:textFill>
              </w:rPr>
              <w:t>各科日常诊断、教学、科研等工作</w:t>
            </w:r>
          </w:p>
        </w:tc>
        <w:tc>
          <w:tcPr>
            <w:tcW w:w="3436" w:type="dxa"/>
            <w:vAlign w:val="center"/>
          </w:tcPr>
          <w:p>
            <w:pPr>
              <w:widowControl/>
              <w:spacing w:line="200" w:lineRule="exact"/>
              <w:jc w:val="left"/>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临床检验诊断学、免疫学、病原生物学、基础医学等专业；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临床</w:t>
            </w:r>
          </w:p>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营养</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1</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承担医院临床营养相关工作</w:t>
            </w:r>
          </w:p>
        </w:tc>
        <w:tc>
          <w:tcPr>
            <w:tcW w:w="3436" w:type="dxa"/>
            <w:vAlign w:val="center"/>
          </w:tcPr>
          <w:p>
            <w:pPr>
              <w:widowControl/>
              <w:spacing w:line="200" w:lineRule="exact"/>
              <w:jc w:val="left"/>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临床医学、临床营养学等专业；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eastAsia="宋体" w:cs="Times New Roman"/>
                <w:kern w:val="0"/>
                <w:sz w:val="18"/>
                <w:szCs w:val="18"/>
              </w:rPr>
            </w:pP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2</w:t>
            </w:r>
          </w:p>
        </w:tc>
        <w:tc>
          <w:tcPr>
            <w:tcW w:w="2230" w:type="dxa"/>
            <w:vMerge w:val="continue"/>
            <w:vAlign w:val="center"/>
          </w:tcPr>
          <w:p>
            <w:pPr>
              <w:widowControl/>
              <w:spacing w:line="200" w:lineRule="exact"/>
              <w:jc w:val="left"/>
              <w:rPr>
                <w:rFonts w:ascii="Times New Roman" w:hAnsi="Times New Roman" w:eastAsia="宋体" w:cs="Times New Roman"/>
                <w:kern w:val="0"/>
                <w:sz w:val="18"/>
                <w:szCs w:val="18"/>
              </w:rPr>
            </w:pPr>
          </w:p>
        </w:tc>
        <w:tc>
          <w:tcPr>
            <w:tcW w:w="3436" w:type="dxa"/>
            <w:vAlign w:val="center"/>
          </w:tcPr>
          <w:p>
            <w:pPr>
              <w:widowControl/>
              <w:spacing w:line="200" w:lineRule="exact"/>
              <w:jc w:val="left"/>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临床医学、临床营养学等专业；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药学</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2</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承担医院药学相关工作</w:t>
            </w:r>
          </w:p>
        </w:tc>
        <w:tc>
          <w:tcPr>
            <w:tcW w:w="3436" w:type="dxa"/>
            <w:vAlign w:val="center"/>
          </w:tcPr>
          <w:p>
            <w:pPr>
              <w:widowControl/>
              <w:spacing w:line="200" w:lineRule="exact"/>
              <w:jc w:val="left"/>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药学相关专业；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eastAsia="宋体" w:cs="Times New Roman"/>
                <w:kern w:val="0"/>
                <w:sz w:val="18"/>
                <w:szCs w:val="18"/>
              </w:rPr>
            </w:pP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4</w:t>
            </w:r>
          </w:p>
        </w:tc>
        <w:tc>
          <w:tcPr>
            <w:tcW w:w="2230" w:type="dxa"/>
            <w:vMerge w:val="continue"/>
            <w:vAlign w:val="center"/>
          </w:tcPr>
          <w:p>
            <w:pPr>
              <w:widowControl/>
              <w:spacing w:line="200" w:lineRule="exact"/>
              <w:jc w:val="left"/>
              <w:rPr>
                <w:rFonts w:ascii="Times New Roman" w:hAnsi="Times New Roman" w:eastAsia="宋体" w:cs="Times New Roman"/>
                <w:kern w:val="0"/>
                <w:sz w:val="18"/>
                <w:szCs w:val="18"/>
              </w:rPr>
            </w:pPr>
          </w:p>
        </w:tc>
        <w:tc>
          <w:tcPr>
            <w:tcW w:w="3436" w:type="dxa"/>
            <w:vAlign w:val="center"/>
          </w:tcPr>
          <w:p>
            <w:pPr>
              <w:widowControl/>
              <w:spacing w:line="200" w:lineRule="exact"/>
              <w:jc w:val="left"/>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药学相关专业；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科研</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2</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承担医院日常科研相关工作</w:t>
            </w:r>
          </w:p>
        </w:tc>
        <w:tc>
          <w:tcPr>
            <w:tcW w:w="3436" w:type="dxa"/>
            <w:vAlign w:val="center"/>
          </w:tcPr>
          <w:p>
            <w:pPr>
              <w:widowControl/>
              <w:spacing w:line="200" w:lineRule="exact"/>
              <w:jc w:val="left"/>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蛋白质组学、代谢组学、微生物学、人工智能、AI大数据、生物信息学、生物化学与分子生物学、细胞生物学等相关专业；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eastAsia="宋体" w:cs="Times New Roman"/>
                <w:kern w:val="0"/>
                <w:sz w:val="18"/>
                <w:szCs w:val="18"/>
              </w:rPr>
            </w:pPr>
          </w:p>
        </w:tc>
        <w:tc>
          <w:tcPr>
            <w:tcW w:w="616" w:type="dxa"/>
            <w:vAlign w:val="center"/>
          </w:tcPr>
          <w:p>
            <w:pPr>
              <w:widowControl/>
              <w:spacing w:line="200" w:lineRule="exact"/>
              <w:jc w:val="center"/>
              <w:rPr>
                <w:rFonts w:ascii="Times New Roman" w:hAnsi="Times New Roman" w:cs="Times New Roman"/>
                <w:kern w:val="0"/>
                <w:sz w:val="18"/>
                <w:szCs w:val="18"/>
              </w:rPr>
            </w:pPr>
            <w:r>
              <w:rPr>
                <w:rFonts w:hint="eastAsia" w:ascii="Times New Roman" w:hAnsi="Times New Roman" w:cs="Times New Roman"/>
                <w:bCs/>
                <w:color w:val="000000" w:themeColor="text1"/>
                <w:sz w:val="18"/>
                <w:szCs w:val="18"/>
                <w14:textFill>
                  <w14:solidFill>
                    <w14:schemeClr w14:val="tx1"/>
                  </w14:solidFill>
                </w14:textFill>
              </w:rPr>
              <w:t>2</w:t>
            </w:r>
          </w:p>
        </w:tc>
        <w:tc>
          <w:tcPr>
            <w:tcW w:w="2230" w:type="dxa"/>
            <w:vMerge w:val="continue"/>
            <w:vAlign w:val="center"/>
          </w:tcPr>
          <w:p>
            <w:pPr>
              <w:widowControl/>
              <w:spacing w:line="200" w:lineRule="exact"/>
              <w:jc w:val="left"/>
              <w:rPr>
                <w:rFonts w:ascii="Times New Roman" w:hAnsi="Times New Roman" w:eastAsia="宋体" w:cs="Times New Roman"/>
                <w:kern w:val="0"/>
                <w:sz w:val="18"/>
                <w:szCs w:val="18"/>
              </w:rPr>
            </w:pPr>
          </w:p>
        </w:tc>
        <w:tc>
          <w:tcPr>
            <w:tcW w:w="3436" w:type="dxa"/>
            <w:vAlign w:val="center"/>
          </w:tcPr>
          <w:p>
            <w:pPr>
              <w:widowControl/>
              <w:spacing w:line="200" w:lineRule="exact"/>
              <w:jc w:val="left"/>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组织工程、生物信息学、蛋白质组学、代谢组学</w:t>
            </w:r>
            <w:r>
              <w:rPr>
                <w:rFonts w:hint="eastAsia" w:ascii="Times New Roman" w:hAnsi="Times New Roman" w:cs="Times New Roman"/>
                <w:bCs/>
                <w:color w:val="000000" w:themeColor="text1"/>
                <w:sz w:val="18"/>
                <w:szCs w:val="18"/>
                <w14:textFill>
                  <w14:solidFill>
                    <w14:schemeClr w14:val="tx1"/>
                  </w14:solidFill>
                </w14:textFill>
              </w:rPr>
              <w:t>、海洋生物学</w:t>
            </w:r>
            <w:r>
              <w:rPr>
                <w:rFonts w:ascii="Times New Roman" w:hAnsi="Times New Roman" w:cs="Times New Roman"/>
                <w:bCs/>
                <w:color w:val="000000" w:themeColor="text1"/>
                <w:sz w:val="18"/>
                <w:szCs w:val="18"/>
                <w14:textFill>
                  <w14:solidFill>
                    <w14:schemeClr w14:val="tx1"/>
                  </w14:solidFill>
                </w14:textFill>
              </w:rPr>
              <w:t>等相关专业；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护理</w:t>
            </w:r>
          </w:p>
        </w:tc>
        <w:tc>
          <w:tcPr>
            <w:tcW w:w="616" w:type="dxa"/>
            <w:vAlign w:val="center"/>
          </w:tcPr>
          <w:p>
            <w:pPr>
              <w:widowControl/>
              <w:spacing w:line="200" w:lineRule="exact"/>
              <w:jc w:val="center"/>
              <w:rPr>
                <w:rFonts w:ascii="Times New Roman" w:hAnsi="Times New Roman"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2</w:t>
            </w:r>
          </w:p>
        </w:tc>
        <w:tc>
          <w:tcPr>
            <w:tcW w:w="2230" w:type="dxa"/>
            <w:vMerge w:val="restart"/>
            <w:vAlign w:val="center"/>
          </w:tcPr>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sz w:val="18"/>
                <w:szCs w:val="18"/>
                <w14:textFill>
                  <w14:solidFill>
                    <w14:schemeClr w14:val="tx1"/>
                  </w14:solidFill>
                </w14:textFill>
              </w:rPr>
              <w:t>承担医院日常护理、管理工作</w:t>
            </w:r>
          </w:p>
        </w:tc>
        <w:tc>
          <w:tcPr>
            <w:tcW w:w="3436" w:type="dxa"/>
            <w:vAlign w:val="center"/>
          </w:tcPr>
          <w:p>
            <w:pPr>
              <w:widowControl/>
              <w:spacing w:line="200" w:lineRule="exact"/>
              <w:jc w:val="left"/>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护理学专业；</w:t>
            </w:r>
          </w:p>
          <w:p>
            <w:pPr>
              <w:widowControl/>
              <w:spacing w:line="200" w:lineRule="exact"/>
              <w:jc w:val="left"/>
              <w:rPr>
                <w:rFonts w:ascii="Times New Roman" w:hAnsi="Times New Roman"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eastAsia="微软雅黑" w:cs="Times New Roman"/>
                <w:b/>
                <w:color w:val="4D4D4D"/>
                <w:kern w:val="0"/>
                <w:sz w:val="18"/>
                <w:szCs w:val="18"/>
              </w:rPr>
            </w:pPr>
          </w:p>
        </w:tc>
        <w:tc>
          <w:tcPr>
            <w:tcW w:w="836" w:type="dxa"/>
            <w:vMerge w:val="continue"/>
            <w:vAlign w:val="center"/>
          </w:tcPr>
          <w:p>
            <w:pPr>
              <w:widowControl/>
              <w:spacing w:line="200" w:lineRule="exact"/>
              <w:jc w:val="center"/>
              <w:rPr>
                <w:rFonts w:ascii="Times New Roman" w:hAnsi="Times New Roman" w:cs="Times New Roman"/>
                <w:bCs/>
                <w:color w:val="000000" w:themeColor="text1"/>
                <w:sz w:val="18"/>
                <w:szCs w:val="18"/>
                <w14:textFill>
                  <w14:solidFill>
                    <w14:schemeClr w14:val="tx1"/>
                  </w14:solidFill>
                </w14:textFill>
              </w:rPr>
            </w:pPr>
          </w:p>
        </w:tc>
        <w:tc>
          <w:tcPr>
            <w:tcW w:w="616" w:type="dxa"/>
            <w:vAlign w:val="center"/>
          </w:tcPr>
          <w:p>
            <w:pPr>
              <w:widowControl/>
              <w:spacing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3</w:t>
            </w:r>
          </w:p>
        </w:tc>
        <w:tc>
          <w:tcPr>
            <w:tcW w:w="2230" w:type="dxa"/>
            <w:vMerge w:val="continue"/>
            <w:vAlign w:val="center"/>
          </w:tcPr>
          <w:p>
            <w:pPr>
              <w:widowControl/>
              <w:spacing w:line="200" w:lineRule="exact"/>
              <w:jc w:val="left"/>
              <w:rPr>
                <w:rFonts w:ascii="Times New Roman" w:hAnsi="Times New Roman" w:cs="Times New Roman"/>
                <w:color w:val="000000" w:themeColor="text1"/>
                <w:sz w:val="18"/>
                <w:szCs w:val="18"/>
                <w14:textFill>
                  <w14:solidFill>
                    <w14:schemeClr w14:val="tx1"/>
                  </w14:solidFill>
                </w14:textFill>
              </w:rPr>
            </w:pPr>
          </w:p>
        </w:tc>
        <w:tc>
          <w:tcPr>
            <w:tcW w:w="3436" w:type="dxa"/>
            <w:vAlign w:val="center"/>
          </w:tcPr>
          <w:p>
            <w:pPr>
              <w:widowControl/>
              <w:spacing w:line="2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护理学专业；</w:t>
            </w:r>
          </w:p>
          <w:p>
            <w:pPr>
              <w:widowControl/>
              <w:spacing w:line="2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restart"/>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宁波大学附属妇女儿童医院</w:t>
            </w:r>
          </w:p>
          <w:p>
            <w:pPr>
              <w:widowControl/>
              <w:spacing w:line="200" w:lineRule="exact"/>
              <w:jc w:val="center"/>
              <w:rPr>
                <w:rFonts w:ascii="Times New Roman" w:hAnsi="Times New Roman" w:cs="Times New Roman"/>
                <w:b/>
                <w:color w:val="4D4D4D"/>
                <w:kern w:val="0"/>
                <w:sz w:val="18"/>
                <w:szCs w:val="18"/>
              </w:rPr>
            </w:pPr>
            <w:r>
              <w:rPr>
                <w:rFonts w:ascii="Times New Roman" w:hAnsi="Times New Roman" w:cs="Times New Roman"/>
                <w:kern w:val="0"/>
                <w:sz w:val="18"/>
                <w:szCs w:val="18"/>
              </w:rPr>
              <w:t>（47名）</w:t>
            </w:r>
          </w:p>
        </w:tc>
        <w:tc>
          <w:tcPr>
            <w:tcW w:w="836" w:type="dxa"/>
            <w:vMerge w:val="restart"/>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临床</w:t>
            </w:r>
          </w:p>
        </w:tc>
        <w:tc>
          <w:tcPr>
            <w:tcW w:w="616" w:type="dxa"/>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18</w:t>
            </w:r>
          </w:p>
        </w:tc>
        <w:tc>
          <w:tcPr>
            <w:tcW w:w="2230" w:type="dxa"/>
            <w:vMerge w:val="restart"/>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各科日常诊断、治疗、教学、科研等工作</w:t>
            </w: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外科学、重症医学、全科医学、内科学、急诊医学、小儿外科学、创伤急诊外科、骨科、泌尿外科学、乳腺外科、心胸外科、口腔医学、眼科学、妇产科学、儿科学、生殖内分泌、麻醉学、眼科学、皮肤与性病学、中医妇科等专业；</w:t>
            </w:r>
          </w:p>
          <w:p>
            <w:pPr>
              <w:pStyle w:val="4"/>
              <w:spacing w:before="0" w:beforeAutospacing="0" w:after="0" w:afterAutospacing="0" w:line="200" w:lineRule="exact"/>
              <w:rPr>
                <w:rFonts w:ascii="Times New Roman" w:hAnsi="Times New Roman" w:cs="Times New Roman" w:eastAsiaTheme="minorEastAsia"/>
                <w:color w:val="4D4D4D"/>
                <w:sz w:val="18"/>
                <w:szCs w:val="18"/>
              </w:rPr>
            </w:pPr>
            <w:r>
              <w:rPr>
                <w:rFonts w:ascii="Times New Roman" w:hAnsi="Times New Roman" w:cs="Times New Roman" w:eastAsiaTheme="minorEastAsia"/>
                <w:sz w:val="18"/>
                <w:szCs w:val="18"/>
              </w:rPr>
              <w:t>研究生学历且博士学位</w:t>
            </w:r>
          </w:p>
        </w:tc>
        <w:tc>
          <w:tcPr>
            <w:tcW w:w="709" w:type="dxa"/>
            <w:vMerge w:val="restart"/>
            <w:vAlign w:val="center"/>
          </w:tcPr>
          <w:p>
            <w:pPr>
              <w:widowControl/>
              <w:spacing w:line="200" w:lineRule="exact"/>
              <w:jc w:val="center"/>
              <w:rPr>
                <w:rFonts w:ascii="Times New Roman" w:hAnsi="Times New Roman" w:cs="Times New Roman"/>
                <w:b/>
                <w:color w:val="4D4D4D"/>
                <w:kern w:val="0"/>
                <w:sz w:val="18"/>
                <w:szCs w:val="18"/>
              </w:rPr>
            </w:pPr>
            <w:r>
              <w:rPr>
                <w:rFonts w:ascii="Times New Roman" w:hAnsi="Times New Roman" w:cs="Times New Roman"/>
                <w:kern w:val="0"/>
                <w:sz w:val="18"/>
                <w:szCs w:val="18"/>
              </w:rPr>
              <w:t>全国范围</w:t>
            </w:r>
          </w:p>
        </w:tc>
        <w:tc>
          <w:tcPr>
            <w:tcW w:w="1823" w:type="dxa"/>
            <w:vMerge w:val="restart"/>
            <w:vAlign w:val="center"/>
          </w:tcPr>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pPr>
              <w:widowControl/>
              <w:spacing w:line="200" w:lineRule="exact"/>
              <w:jc w:val="left"/>
              <w:rPr>
                <w:rFonts w:ascii="Times New Roman" w:hAnsi="Times New Roman"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Merge w:val="continue"/>
            <w:vAlign w:val="center"/>
          </w:tcPr>
          <w:p>
            <w:pPr>
              <w:widowControl/>
              <w:spacing w:line="200" w:lineRule="exact"/>
              <w:jc w:val="left"/>
              <w:rPr>
                <w:rFonts w:ascii="Times New Roman" w:hAnsi="Times New Roman" w:cs="Times New Roman"/>
                <w:color w:val="000000" w:themeColor="text1"/>
                <w:sz w:val="18"/>
                <w:szCs w:val="18"/>
                <w14:textFill>
                  <w14:solidFill>
                    <w14:schemeClr w14:val="tx1"/>
                  </w14:solidFill>
                </w14:textFill>
              </w:rPr>
            </w:pPr>
          </w:p>
        </w:tc>
        <w:tc>
          <w:tcPr>
            <w:tcW w:w="616" w:type="dxa"/>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14</w:t>
            </w:r>
          </w:p>
        </w:tc>
        <w:tc>
          <w:tcPr>
            <w:tcW w:w="2230" w:type="dxa"/>
            <w:vMerge w:val="continue"/>
            <w:vAlign w:val="center"/>
          </w:tcPr>
          <w:p>
            <w:pPr>
              <w:pStyle w:val="4"/>
              <w:spacing w:before="0" w:beforeAutospacing="0" w:after="0" w:afterAutospacing="0" w:line="200" w:lineRule="exact"/>
              <w:rPr>
                <w:rFonts w:ascii="Times New Roman" w:hAnsi="Times New Roman" w:cs="Times New Roman" w:eastAsiaTheme="minorEastAsia"/>
                <w:sz w:val="18"/>
                <w:szCs w:val="18"/>
              </w:rPr>
            </w:pP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外科学、重症医学、全科医学、内科学、急诊医学、小儿外科学、创伤急诊外科、心胸外科、骨科、泌尿外科学、口腔医学、眼科学、妇产科学、儿科学、麻醉学、康复医学、精神卫生、心理卫生、皮肤与性病学等专业；</w:t>
            </w:r>
          </w:p>
          <w:p>
            <w:pPr>
              <w:pStyle w:val="4"/>
              <w:spacing w:before="0" w:beforeAutospacing="0" w:after="0" w:afterAutospacing="0" w:line="200" w:lineRule="exact"/>
              <w:rPr>
                <w:rFonts w:ascii="Times New Roman" w:hAnsi="Times New Roman" w:cs="Times New Roman" w:eastAsiaTheme="minorEastAsia"/>
                <w:color w:val="4D4D4D"/>
                <w:sz w:val="18"/>
                <w:szCs w:val="18"/>
              </w:rPr>
            </w:pPr>
            <w:r>
              <w:rPr>
                <w:rFonts w:ascii="Times New Roman" w:hAnsi="Times New Roman" w:cs="Times New Roman" w:eastAsiaTheme="minorEastAsia"/>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widowControl/>
              <w:spacing w:line="2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检验</w:t>
            </w:r>
          </w:p>
        </w:tc>
        <w:tc>
          <w:tcPr>
            <w:tcW w:w="616" w:type="dxa"/>
            <w:vAlign w:val="center"/>
          </w:tcPr>
          <w:p>
            <w:pPr>
              <w:widowControl/>
              <w:spacing w:line="2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2230" w:type="dxa"/>
            <w:vAlign w:val="center"/>
          </w:tcPr>
          <w:p>
            <w:pPr>
              <w:pStyle w:val="4"/>
              <w:spacing w:before="0" w:beforeAutospacing="0" w:after="0" w:afterAutospacing="0" w:line="20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sz w:val="18"/>
                <w:szCs w:val="18"/>
              </w:rPr>
              <w:t>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临床检验诊断学、生物化学与分子生物学、病原微生物学等专业；</w:t>
            </w:r>
          </w:p>
          <w:p>
            <w:pPr>
              <w:pStyle w:val="4"/>
              <w:spacing w:before="0" w:beforeAutospacing="0" w:after="0" w:afterAutospacing="0" w:line="20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sz w:val="18"/>
                <w:szCs w:val="18"/>
              </w:rPr>
              <w:t>研究生学历且博士学位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widowControl/>
              <w:spacing w:line="2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影像</w:t>
            </w:r>
          </w:p>
        </w:tc>
        <w:tc>
          <w:tcPr>
            <w:tcW w:w="616" w:type="dxa"/>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1</w:t>
            </w:r>
          </w:p>
        </w:tc>
        <w:tc>
          <w:tcPr>
            <w:tcW w:w="2230"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影像医学与核医学专业；</w:t>
            </w:r>
          </w:p>
          <w:p>
            <w:pPr>
              <w:pStyle w:val="4"/>
              <w:spacing w:before="0" w:beforeAutospacing="0" w:after="0" w:afterAutospacing="0" w:line="200" w:lineRule="exact"/>
              <w:rPr>
                <w:rFonts w:ascii="Times New Roman" w:hAnsi="Times New Roman" w:cs="Times New Roman" w:eastAsiaTheme="minorEastAsia"/>
                <w:color w:val="4D4D4D"/>
                <w:sz w:val="18"/>
                <w:szCs w:val="18"/>
                <w:lang w:bidi="ar"/>
              </w:rPr>
            </w:pPr>
            <w:r>
              <w:rPr>
                <w:rFonts w:ascii="Times New Roman" w:hAnsi="Times New Roman" w:cs="Times New Roman" w:eastAsiaTheme="minorEastAsia"/>
                <w:sz w:val="18"/>
                <w:szCs w:val="18"/>
              </w:rPr>
              <w:t>研究生学历且博士学位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widowControl/>
              <w:spacing w:line="2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超声</w:t>
            </w:r>
          </w:p>
        </w:tc>
        <w:tc>
          <w:tcPr>
            <w:tcW w:w="616" w:type="dxa"/>
            <w:vAlign w:val="center"/>
          </w:tcPr>
          <w:p>
            <w:pPr>
              <w:widowControl/>
              <w:spacing w:line="200"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影像医学与核医学、影像医学与核医学（超声方向）等专业；</w:t>
            </w:r>
          </w:p>
          <w:p>
            <w:pPr>
              <w:pStyle w:val="4"/>
              <w:spacing w:before="0" w:beforeAutospacing="0" w:after="0" w:afterAutospacing="0" w:line="200" w:lineRule="exact"/>
              <w:rPr>
                <w:rFonts w:ascii="Times New Roman" w:hAnsi="Times New Roman" w:eastAsia="微软雅黑" w:cs="Times New Roman"/>
                <w:color w:val="4D4D4D"/>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科研</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承担医院日常科研等工作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生物信息学、分子生物学、细胞生物学、遗传学、临床医学、基础医学等专业；</w:t>
            </w:r>
          </w:p>
          <w:p>
            <w:pPr>
              <w:pStyle w:val="4"/>
              <w:spacing w:before="0" w:beforeAutospacing="0" w:after="0" w:afterAutospacing="0" w:line="200" w:lineRule="exact"/>
              <w:rPr>
                <w:rFonts w:ascii="Times New Roman" w:hAnsi="Times New Roman" w:eastAsia="微软雅黑" w:cs="Times New Roman"/>
                <w:color w:val="4D4D4D"/>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护理</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承担医院护理临床、管理工作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护理学专业；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公共</w:t>
            </w:r>
          </w:p>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卫生</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承担医院公共卫生工作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流</w:t>
            </w:r>
            <w:r>
              <w:rPr>
                <w:rFonts w:ascii="Times New Roman" w:hAnsi="Times New Roman" w:cs="Times New Roman"/>
                <w:sz w:val="18"/>
                <w:szCs w:val="18"/>
              </w:rPr>
              <w:t>行病与卫生统计学专业；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宁波市中医院</w:t>
            </w:r>
          </w:p>
          <w:p>
            <w:pPr>
              <w:widowControl/>
              <w:spacing w:line="200" w:lineRule="exact"/>
              <w:jc w:val="center"/>
              <w:rPr>
                <w:rFonts w:ascii="Times New Roman" w:hAnsi="Times New Roman" w:cs="Times New Roman"/>
                <w:b/>
                <w:color w:val="4D4D4D"/>
                <w:kern w:val="0"/>
                <w:sz w:val="18"/>
                <w:szCs w:val="18"/>
              </w:rPr>
            </w:pPr>
            <w:r>
              <w:rPr>
                <w:rFonts w:ascii="Times New Roman" w:hAnsi="Times New Roman" w:eastAsia="宋体" w:cs="Times New Roman"/>
                <w:kern w:val="0"/>
                <w:sz w:val="18"/>
                <w:szCs w:val="18"/>
              </w:rPr>
              <w:t>（41名）</w:t>
            </w:r>
          </w:p>
        </w:tc>
        <w:tc>
          <w:tcPr>
            <w:tcW w:w="836" w:type="dxa"/>
            <w:vMerge w:val="restart"/>
            <w:vAlign w:val="center"/>
          </w:tcPr>
          <w:p>
            <w:pPr>
              <w:pStyle w:val="4"/>
              <w:spacing w:before="0" w:beforeAutospacing="0" w:after="0" w:afterAutospacing="0" w:line="20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sz w:val="18"/>
                <w:szCs w:val="18"/>
              </w:rPr>
              <w:t>临床</w:t>
            </w:r>
          </w:p>
        </w:tc>
        <w:tc>
          <w:tcPr>
            <w:tcW w:w="616" w:type="dxa"/>
            <w:vAlign w:val="center"/>
          </w:tcPr>
          <w:p>
            <w:pPr>
              <w:pStyle w:val="4"/>
              <w:spacing w:before="0" w:beforeAutospacing="0" w:after="0" w:afterAutospacing="0" w:line="20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sz w:val="18"/>
                <w:szCs w:val="18"/>
              </w:rPr>
              <w:t>9</w:t>
            </w:r>
          </w:p>
        </w:tc>
        <w:tc>
          <w:tcPr>
            <w:tcW w:w="2230" w:type="dxa"/>
            <w:vAlign w:val="center"/>
          </w:tcPr>
          <w:p>
            <w:pPr>
              <w:pStyle w:val="4"/>
              <w:spacing w:before="0" w:beforeAutospacing="0" w:after="0" w:afterAutospacing="0" w:line="20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sz w:val="18"/>
                <w:szCs w:val="18"/>
              </w:rPr>
              <w:t>承担日常诊断、教学、科研等工作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中医内科学（肿瘤、呼吸、肝病</w:t>
            </w:r>
            <w:r>
              <w:rPr>
                <w:rFonts w:hint="eastAsia" w:ascii="Times New Roman" w:hAnsi="Times New Roman" w:cs="Times New Roman"/>
                <w:sz w:val="18"/>
                <w:szCs w:val="18"/>
              </w:rPr>
              <w:t>方向</w:t>
            </w:r>
            <w:r>
              <w:rPr>
                <w:rFonts w:ascii="Times New Roman" w:hAnsi="Times New Roman" w:cs="Times New Roman"/>
                <w:sz w:val="18"/>
                <w:szCs w:val="18"/>
              </w:rPr>
              <w:t>）、</w:t>
            </w:r>
            <w:r>
              <w:rPr>
                <w:rFonts w:hint="eastAsia" w:ascii="Times New Roman" w:hAnsi="Times New Roman" w:cs="Times New Roman"/>
                <w:sz w:val="18"/>
                <w:szCs w:val="18"/>
              </w:rPr>
              <w:t>呼吸病学、肿瘤学</w:t>
            </w:r>
            <w:r>
              <w:rPr>
                <w:rFonts w:ascii="Times New Roman" w:hAnsi="Times New Roman" w:cs="Times New Roman"/>
                <w:sz w:val="18"/>
                <w:szCs w:val="18"/>
              </w:rPr>
              <w:t>、</w:t>
            </w:r>
            <w:r>
              <w:rPr>
                <w:rFonts w:hint="eastAsia" w:ascii="Times New Roman" w:hAnsi="Times New Roman" w:cs="Times New Roman"/>
                <w:sz w:val="18"/>
                <w:szCs w:val="18"/>
              </w:rPr>
              <w:t>肝病学、</w:t>
            </w:r>
            <w:r>
              <w:rPr>
                <w:rFonts w:ascii="Times New Roman" w:hAnsi="Times New Roman" w:cs="Times New Roman"/>
                <w:sz w:val="18"/>
                <w:szCs w:val="18"/>
              </w:rPr>
              <w:t>妇产科学、中医眼科学、中医妇科</w:t>
            </w:r>
            <w:r>
              <w:rPr>
                <w:rFonts w:hint="eastAsia" w:ascii="Times New Roman" w:hAnsi="Times New Roman" w:cs="Times New Roman"/>
                <w:sz w:val="18"/>
                <w:szCs w:val="18"/>
              </w:rPr>
              <w:t>学</w:t>
            </w:r>
            <w:r>
              <w:rPr>
                <w:rFonts w:ascii="Times New Roman" w:hAnsi="Times New Roman" w:cs="Times New Roman"/>
                <w:sz w:val="18"/>
                <w:szCs w:val="18"/>
              </w:rPr>
              <w:t>、中西医结合临床、中医骨伤学、骨外科学、</w:t>
            </w:r>
            <w:r>
              <w:rPr>
                <w:rFonts w:hint="eastAsia" w:ascii="Times New Roman" w:hAnsi="Times New Roman" w:cs="Times New Roman"/>
                <w:sz w:val="18"/>
                <w:szCs w:val="18"/>
              </w:rPr>
              <w:t>皮肤病与性病学等专业</w:t>
            </w:r>
            <w:r>
              <w:rPr>
                <w:rFonts w:ascii="Times New Roman" w:hAnsi="Times New Roman" w:cs="Times New Roman"/>
                <w:sz w:val="18"/>
                <w:szCs w:val="18"/>
              </w:rPr>
              <w:t>；</w:t>
            </w:r>
          </w:p>
          <w:p>
            <w:pPr>
              <w:pStyle w:val="4"/>
              <w:spacing w:before="0" w:beforeAutospacing="0" w:after="0" w:afterAutospacing="0" w:line="200" w:lineRule="exact"/>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sz w:val="18"/>
                <w:szCs w:val="18"/>
              </w:rPr>
              <w:t>研究生学历且博士学位</w:t>
            </w:r>
          </w:p>
        </w:tc>
        <w:tc>
          <w:tcPr>
            <w:tcW w:w="709"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面向全国</w:t>
            </w:r>
          </w:p>
        </w:tc>
        <w:tc>
          <w:tcPr>
            <w:tcW w:w="1823" w:type="dxa"/>
            <w:vMerge w:val="restart"/>
            <w:vAlign w:val="center"/>
          </w:tcPr>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pPr>
              <w:widowControl/>
              <w:spacing w:line="200" w:lineRule="exact"/>
              <w:jc w:val="left"/>
              <w:rPr>
                <w:rFonts w:ascii="Times New Roman" w:hAnsi="Times New Roman" w:eastAsia="宋体" w:cs="Times New Roman"/>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Merge w:val="continue"/>
            <w:vAlign w:val="center"/>
          </w:tcPr>
          <w:p>
            <w:pPr>
              <w:pStyle w:val="4"/>
              <w:spacing w:before="0" w:beforeAutospacing="0" w:after="0" w:afterAutospacing="0" w:line="200" w:lineRule="exact"/>
              <w:jc w:val="center"/>
              <w:rPr>
                <w:rFonts w:ascii="Times New Roman" w:hAnsi="Times New Roman" w:cs="Times New Roman"/>
                <w:sz w:val="18"/>
                <w:szCs w:val="18"/>
              </w:rPr>
            </w:pP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23</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中医内科学（肝病、风湿免疫、肾病方向）、中医外科学（男科、皮肤病方向）、中医肿瘤学、中医肛肠病学、中医妇科学、中医骨伤学、骨外科学、皮肤病与性病学、普外科学、神经外科学、整形外科学、血管外科学、胸外科学等、普通内科学、心血管内科学、呼吸内科学、神经内科学、感染病学、急诊医学、重症医学、变态反应学等、妇产科学、儿科学、针灸推拿学、精神病与精神卫生学、口腔正畸学等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eastAsiaTheme="minorEastAsia"/>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vAlign w:val="center"/>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影像</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影像医学与核医学、临床医学专业；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vAlign w:val="center"/>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超声</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承担日常诊断、教学、科研等工作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影像医学与核医学、临床医学专业；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vAlign w:val="center"/>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Merge w:val="restart"/>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药学</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承担药学部科研工作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药学、中药学、药剂学、药理学等相关专业</w:t>
            </w:r>
            <w:r>
              <w:rPr>
                <w:rFonts w:hint="eastAsia" w:ascii="Times New Roman" w:hAnsi="Times New Roman" w:cs="Times New Roman"/>
                <w:sz w:val="18"/>
                <w:szCs w:val="18"/>
              </w:rPr>
              <w:t>；</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eastAsiaTheme="minorEastAsia"/>
                <w:sz w:val="18"/>
                <w:szCs w:val="18"/>
              </w:rPr>
              <w:t>研究生学历且博士学位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vAlign w:val="center"/>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Merge w:val="continue"/>
            <w:vAlign w:val="center"/>
          </w:tcPr>
          <w:p>
            <w:pPr>
              <w:pStyle w:val="4"/>
              <w:spacing w:before="0" w:beforeAutospacing="0" w:after="0" w:afterAutospacing="0" w:line="200" w:lineRule="exact"/>
              <w:jc w:val="center"/>
              <w:rPr>
                <w:rFonts w:ascii="Times New Roman" w:hAnsi="Times New Roman" w:cs="Times New Roman"/>
                <w:sz w:val="18"/>
                <w:szCs w:val="18"/>
              </w:rPr>
            </w:pP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承担药学部日常教学、科研等工作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药学、药剂学、药理学等相关专业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eastAsiaTheme="minorEastAsia"/>
                <w:sz w:val="18"/>
                <w:szCs w:val="18"/>
              </w:rPr>
              <w:t>研究生学历且</w:t>
            </w:r>
            <w:r>
              <w:rPr>
                <w:rFonts w:ascii="Times New Roman" w:hAnsi="Times New Roman" w:cs="Times New Roman"/>
                <w:sz w:val="18"/>
                <w:szCs w:val="18"/>
              </w:rPr>
              <w:t>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vAlign w:val="center"/>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中医药研究院科研</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承担中医药科研相关工作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药学、药理学，中药学，中药药理，分子生物学、中西医结合基础等相关专业；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eastAsiaTheme="minorEastAsia"/>
                <w:sz w:val="18"/>
                <w:szCs w:val="18"/>
              </w:rPr>
              <w:t>研究生学历且博士学位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vAlign w:val="center"/>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83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护理</w:t>
            </w:r>
          </w:p>
        </w:tc>
        <w:tc>
          <w:tcPr>
            <w:tcW w:w="616"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2230"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承担护理科研、临床护理工作</w:t>
            </w:r>
          </w:p>
        </w:tc>
        <w:tc>
          <w:tcPr>
            <w:tcW w:w="34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护理学专业；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研究生学历且硕士及以上学位</w:t>
            </w:r>
          </w:p>
        </w:tc>
        <w:tc>
          <w:tcPr>
            <w:tcW w:w="709" w:type="dxa"/>
            <w:vMerge w:val="continue"/>
          </w:tcPr>
          <w:p>
            <w:pPr>
              <w:widowControl/>
              <w:spacing w:line="200" w:lineRule="exact"/>
              <w:jc w:val="center"/>
              <w:rPr>
                <w:rFonts w:ascii="Times New Roman" w:hAnsi="Times New Roman" w:cs="Times New Roman"/>
                <w:b/>
                <w:color w:val="4D4D4D"/>
                <w:kern w:val="0"/>
                <w:sz w:val="18"/>
                <w:szCs w:val="18"/>
              </w:rPr>
            </w:pPr>
          </w:p>
        </w:tc>
        <w:tc>
          <w:tcPr>
            <w:tcW w:w="1823" w:type="dxa"/>
            <w:vAlign w:val="center"/>
          </w:tcPr>
          <w:p>
            <w:pPr>
              <w:widowControl/>
              <w:spacing w:line="200" w:lineRule="exact"/>
              <w:jc w:val="left"/>
              <w:rPr>
                <w:rFonts w:ascii="Times New Roman" w:hAnsi="Times New Roman" w:cs="Times New Roman"/>
                <w:b/>
                <w:color w:val="4D4D4D"/>
                <w:kern w:val="0"/>
                <w:sz w:val="18"/>
                <w:szCs w:val="18"/>
              </w:rPr>
            </w:pPr>
            <w:r>
              <w:rPr>
                <w:rFonts w:ascii="Times New Roman" w:hAnsi="Times New Roman" w:cs="Times New Roman"/>
                <w:bCs/>
                <w:sz w:val="18"/>
                <w:szCs w:val="18"/>
              </w:rPr>
              <w:t>2025年普通高校应届毕业生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restart"/>
            <w:vAlign w:val="center"/>
          </w:tcPr>
          <w:p>
            <w:pPr>
              <w:spacing w:line="200" w:lineRule="exact"/>
              <w:jc w:val="center"/>
              <w:rPr>
                <w:rFonts w:ascii="Times New Roman" w:hAnsi="Times New Roman" w:cs="Times New Roman"/>
                <w:bCs/>
                <w:sz w:val="18"/>
                <w:szCs w:val="18"/>
              </w:rPr>
            </w:pPr>
            <w:r>
              <w:rPr>
                <w:rFonts w:ascii="Times New Roman" w:hAnsi="Times New Roman" w:cs="Times New Roman"/>
                <w:bCs/>
                <w:sz w:val="18"/>
                <w:szCs w:val="18"/>
              </w:rPr>
              <w:t>宁波大学附属康宁医院</w:t>
            </w:r>
          </w:p>
          <w:p>
            <w:pPr>
              <w:spacing w:line="200" w:lineRule="exact"/>
              <w:jc w:val="center"/>
              <w:rPr>
                <w:rFonts w:ascii="Times New Roman" w:hAnsi="Times New Roman" w:cs="Times New Roman"/>
                <w:b/>
                <w:color w:val="4D4D4D"/>
                <w:kern w:val="0"/>
                <w:sz w:val="18"/>
                <w:szCs w:val="18"/>
              </w:rPr>
            </w:pPr>
            <w:r>
              <w:rPr>
                <w:rFonts w:ascii="Times New Roman" w:hAnsi="Times New Roman" w:cs="Times New Roman"/>
                <w:bCs/>
                <w:sz w:val="18"/>
                <w:szCs w:val="18"/>
              </w:rPr>
              <w:t>（9名）</w:t>
            </w:r>
          </w:p>
        </w:tc>
        <w:tc>
          <w:tcPr>
            <w:tcW w:w="836" w:type="dxa"/>
            <w:vMerge w:val="restart"/>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eastAsia="宋体" w:cs="Times New Roman"/>
                <w:kern w:val="0"/>
                <w:sz w:val="18"/>
                <w:szCs w:val="18"/>
              </w:rPr>
              <w:t>临床</w:t>
            </w:r>
          </w:p>
        </w:tc>
        <w:tc>
          <w:tcPr>
            <w:tcW w:w="616" w:type="dxa"/>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4</w:t>
            </w:r>
          </w:p>
        </w:tc>
        <w:tc>
          <w:tcPr>
            <w:tcW w:w="2230" w:type="dxa"/>
            <w:vAlign w:val="center"/>
          </w:tcPr>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rPr>
              <w:t>承担</w:t>
            </w:r>
            <w:r>
              <w:rPr>
                <w:rFonts w:ascii="Times New Roman" w:hAnsi="Times New Roman" w:eastAsia="宋体" w:cs="Times New Roman"/>
                <w:kern w:val="0"/>
                <w:sz w:val="18"/>
                <w:szCs w:val="18"/>
                <w:lang w:bidi="ar"/>
              </w:rPr>
              <w:t>普通</w:t>
            </w:r>
            <w:r>
              <w:rPr>
                <w:rFonts w:ascii="Times New Roman" w:hAnsi="Times New Roman" w:cs="Times New Roman"/>
                <w:kern w:val="0"/>
                <w:sz w:val="18"/>
                <w:szCs w:val="18"/>
              </w:rPr>
              <w:t>精神科</w:t>
            </w:r>
            <w:r>
              <w:rPr>
                <w:rFonts w:ascii="Times New Roman" w:hAnsi="Times New Roman" w:eastAsia="宋体" w:cs="Times New Roman"/>
                <w:kern w:val="0"/>
                <w:sz w:val="18"/>
                <w:szCs w:val="18"/>
              </w:rPr>
              <w:t>日常诊断、治疗、</w:t>
            </w:r>
            <w:r>
              <w:rPr>
                <w:rFonts w:ascii="Times New Roman" w:hAnsi="Times New Roman" w:cs="Times New Roman"/>
                <w:kern w:val="0"/>
                <w:sz w:val="18"/>
                <w:szCs w:val="18"/>
              </w:rPr>
              <w:t>会诊、</w:t>
            </w:r>
            <w:r>
              <w:rPr>
                <w:rFonts w:ascii="Times New Roman" w:hAnsi="Times New Roman" w:eastAsia="宋体" w:cs="Times New Roman"/>
                <w:kern w:val="0"/>
                <w:sz w:val="18"/>
                <w:szCs w:val="18"/>
              </w:rPr>
              <w:t>教学</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科研等工作</w:t>
            </w:r>
          </w:p>
        </w:tc>
        <w:tc>
          <w:tcPr>
            <w:tcW w:w="3436" w:type="dxa"/>
            <w:vAlign w:val="center"/>
          </w:tcPr>
          <w:p>
            <w:pPr>
              <w:widowControl/>
              <w:spacing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精神病与精神卫生学专业；</w:t>
            </w:r>
          </w:p>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研究生学历且硕士及以上学位</w:t>
            </w:r>
          </w:p>
        </w:tc>
        <w:tc>
          <w:tcPr>
            <w:tcW w:w="709" w:type="dxa"/>
            <w:vMerge w:val="restart"/>
            <w:vAlign w:val="center"/>
          </w:tcPr>
          <w:p>
            <w:pPr>
              <w:widowControl/>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面向全国</w:t>
            </w:r>
          </w:p>
        </w:tc>
        <w:tc>
          <w:tcPr>
            <w:tcW w:w="1823" w:type="dxa"/>
            <w:vMerge w:val="restart"/>
          </w:tcPr>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pPr>
              <w:widowControl/>
              <w:spacing w:line="200" w:lineRule="exact"/>
              <w:jc w:val="left"/>
              <w:rPr>
                <w:rFonts w:ascii="Times New Roman" w:hAnsi="Times New Roman"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r>
              <w:rPr>
                <w:rFonts w:hint="eastAsia" w:ascii="Times New Roman" w:hAnsi="Times New Roman" w:eastAsia="宋体" w:cs="Times New Roman"/>
                <w:kern w:val="0"/>
                <w:sz w:val="18"/>
                <w:szCs w:val="18"/>
              </w:rPr>
              <w:t>和住院医师规范化培训结业证书。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spacing w:line="200" w:lineRule="exact"/>
              <w:jc w:val="center"/>
              <w:rPr>
                <w:rFonts w:ascii="Times New Roman" w:hAnsi="Times New Roman" w:cs="Times New Roman"/>
                <w:bCs/>
                <w:sz w:val="18"/>
                <w:szCs w:val="18"/>
              </w:rPr>
            </w:pPr>
          </w:p>
        </w:tc>
        <w:tc>
          <w:tcPr>
            <w:tcW w:w="836" w:type="dxa"/>
            <w:vMerge w:val="continue"/>
            <w:vAlign w:val="center"/>
          </w:tcPr>
          <w:p>
            <w:pPr>
              <w:widowControl/>
              <w:spacing w:line="200" w:lineRule="exact"/>
              <w:jc w:val="center"/>
              <w:textAlignment w:val="center"/>
              <w:rPr>
                <w:rFonts w:ascii="Times New Roman" w:hAnsi="Times New Roman" w:cs="Times New Roman"/>
                <w:sz w:val="18"/>
                <w:szCs w:val="18"/>
              </w:rPr>
            </w:pPr>
          </w:p>
        </w:tc>
        <w:tc>
          <w:tcPr>
            <w:tcW w:w="616" w:type="dxa"/>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w:t>
            </w:r>
          </w:p>
        </w:tc>
        <w:tc>
          <w:tcPr>
            <w:tcW w:w="2230" w:type="dxa"/>
            <w:vAlign w:val="center"/>
          </w:tcPr>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rPr>
              <w:t>承担</w:t>
            </w:r>
            <w:r>
              <w:rPr>
                <w:rFonts w:ascii="Times New Roman" w:hAnsi="Times New Roman" w:cs="Times New Roman"/>
                <w:kern w:val="0"/>
                <w:sz w:val="18"/>
                <w:szCs w:val="18"/>
              </w:rPr>
              <w:t>内科及重症医学单元</w:t>
            </w:r>
            <w:r>
              <w:rPr>
                <w:rFonts w:ascii="Times New Roman" w:hAnsi="Times New Roman" w:eastAsia="宋体" w:cs="Times New Roman"/>
                <w:kern w:val="0"/>
                <w:sz w:val="18"/>
                <w:szCs w:val="18"/>
              </w:rPr>
              <w:t>日常诊断、治疗、教学</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科研等工作</w:t>
            </w:r>
          </w:p>
        </w:tc>
        <w:tc>
          <w:tcPr>
            <w:tcW w:w="3436" w:type="dxa"/>
            <w:vAlign w:val="center"/>
          </w:tcPr>
          <w:p>
            <w:pPr>
              <w:widowControl/>
              <w:spacing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呼吸病学或危重症医学专业；</w:t>
            </w:r>
          </w:p>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研究生学历且硕士及以上学位</w:t>
            </w:r>
          </w:p>
        </w:tc>
        <w:tc>
          <w:tcPr>
            <w:tcW w:w="70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spacing w:line="200" w:lineRule="exact"/>
              <w:jc w:val="center"/>
              <w:rPr>
                <w:rFonts w:ascii="Times New Roman" w:hAnsi="Times New Roman" w:cs="Times New Roman"/>
                <w:bCs/>
                <w:sz w:val="18"/>
                <w:szCs w:val="18"/>
              </w:rPr>
            </w:pPr>
          </w:p>
        </w:tc>
        <w:tc>
          <w:tcPr>
            <w:tcW w:w="836" w:type="dxa"/>
            <w:vMerge w:val="continue"/>
            <w:vAlign w:val="center"/>
          </w:tcPr>
          <w:p>
            <w:pPr>
              <w:widowControl/>
              <w:spacing w:line="200" w:lineRule="exact"/>
              <w:jc w:val="center"/>
              <w:textAlignment w:val="center"/>
              <w:rPr>
                <w:rFonts w:ascii="Times New Roman" w:hAnsi="Times New Roman" w:cs="Times New Roman"/>
                <w:sz w:val="18"/>
                <w:szCs w:val="18"/>
              </w:rPr>
            </w:pPr>
          </w:p>
        </w:tc>
        <w:tc>
          <w:tcPr>
            <w:tcW w:w="616" w:type="dxa"/>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w:t>
            </w:r>
          </w:p>
        </w:tc>
        <w:tc>
          <w:tcPr>
            <w:tcW w:w="2230" w:type="dxa"/>
            <w:vAlign w:val="center"/>
          </w:tcPr>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承担</w:t>
            </w:r>
            <w:r>
              <w:rPr>
                <w:rFonts w:ascii="Times New Roman" w:hAnsi="Times New Roman" w:cs="Times New Roman"/>
                <w:kern w:val="0"/>
                <w:sz w:val="18"/>
                <w:szCs w:val="18"/>
                <w:lang w:bidi="ar"/>
              </w:rPr>
              <w:t>老年</w:t>
            </w:r>
            <w:r>
              <w:rPr>
                <w:rFonts w:ascii="Times New Roman" w:hAnsi="Times New Roman" w:eastAsia="宋体" w:cs="Times New Roman"/>
                <w:kern w:val="0"/>
                <w:sz w:val="18"/>
                <w:szCs w:val="18"/>
                <w:lang w:bidi="ar"/>
              </w:rPr>
              <w:t>精神科日常诊断、治疗、教学</w:t>
            </w:r>
            <w:r>
              <w:rPr>
                <w:rFonts w:hint="eastAsia" w:ascii="Times New Roman" w:hAnsi="Times New Roman" w:eastAsia="宋体" w:cs="Times New Roman"/>
                <w:kern w:val="0"/>
                <w:sz w:val="18"/>
                <w:szCs w:val="18"/>
                <w:lang w:bidi="ar"/>
              </w:rPr>
              <w:t>、</w:t>
            </w:r>
            <w:r>
              <w:rPr>
                <w:rFonts w:ascii="Times New Roman" w:hAnsi="Times New Roman" w:eastAsia="宋体" w:cs="Times New Roman"/>
                <w:kern w:val="0"/>
                <w:sz w:val="18"/>
                <w:szCs w:val="18"/>
                <w:lang w:bidi="ar"/>
              </w:rPr>
              <w:t>科研等工作</w:t>
            </w:r>
          </w:p>
        </w:tc>
        <w:tc>
          <w:tcPr>
            <w:tcW w:w="3436" w:type="dxa"/>
            <w:vAlign w:val="center"/>
          </w:tcPr>
          <w:p>
            <w:pPr>
              <w:widowControl/>
              <w:spacing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精神病与精神卫生学专业（老年精神医学方向）；</w:t>
            </w:r>
          </w:p>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研究生学历且博士学位</w:t>
            </w:r>
          </w:p>
        </w:tc>
        <w:tc>
          <w:tcPr>
            <w:tcW w:w="70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9" w:type="dxa"/>
            <w:vMerge w:val="continue"/>
            <w:vAlign w:val="center"/>
          </w:tcPr>
          <w:p>
            <w:pPr>
              <w:widowControl/>
              <w:spacing w:line="200" w:lineRule="exact"/>
              <w:jc w:val="left"/>
              <w:textAlignment w:val="center"/>
              <w:rPr>
                <w:rFonts w:ascii="Times New Roman" w:hAnsi="Times New Roman" w:cs="Times New Roman"/>
                <w:b/>
                <w:color w:val="4D4D4D"/>
                <w:kern w:val="0"/>
                <w:sz w:val="18"/>
                <w:szCs w:val="18"/>
              </w:rPr>
            </w:pPr>
          </w:p>
        </w:tc>
        <w:tc>
          <w:tcPr>
            <w:tcW w:w="836" w:type="dxa"/>
            <w:vMerge w:val="restart"/>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研究</w:t>
            </w:r>
          </w:p>
        </w:tc>
        <w:tc>
          <w:tcPr>
            <w:tcW w:w="616" w:type="dxa"/>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w:t>
            </w:r>
          </w:p>
        </w:tc>
        <w:tc>
          <w:tcPr>
            <w:tcW w:w="2230" w:type="dxa"/>
            <w:vMerge w:val="restart"/>
            <w:vAlign w:val="center"/>
          </w:tcPr>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rPr>
              <w:t>承担精神医学研究工作</w:t>
            </w:r>
          </w:p>
        </w:tc>
        <w:tc>
          <w:tcPr>
            <w:tcW w:w="3436" w:type="dxa"/>
            <w:vAlign w:val="center"/>
          </w:tcPr>
          <w:p>
            <w:pPr>
              <w:widowControl/>
              <w:spacing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精神病与精神卫生学专业；</w:t>
            </w:r>
          </w:p>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研究生学历且硕士及以上学位</w:t>
            </w:r>
          </w:p>
        </w:tc>
        <w:tc>
          <w:tcPr>
            <w:tcW w:w="70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69" w:type="dxa"/>
            <w:vMerge w:val="continue"/>
            <w:vAlign w:val="center"/>
          </w:tcPr>
          <w:p>
            <w:pPr>
              <w:spacing w:line="200" w:lineRule="exact"/>
              <w:jc w:val="center"/>
              <w:rPr>
                <w:rFonts w:ascii="Times New Roman" w:hAnsi="Times New Roman" w:cs="Times New Roman"/>
                <w:b/>
                <w:color w:val="4D4D4D"/>
                <w:kern w:val="0"/>
                <w:sz w:val="18"/>
                <w:szCs w:val="18"/>
              </w:rPr>
            </w:pPr>
          </w:p>
        </w:tc>
        <w:tc>
          <w:tcPr>
            <w:tcW w:w="836" w:type="dxa"/>
            <w:vMerge w:val="continue"/>
            <w:vAlign w:val="center"/>
          </w:tcPr>
          <w:p>
            <w:pPr>
              <w:widowControl/>
              <w:spacing w:line="200" w:lineRule="exact"/>
              <w:jc w:val="center"/>
              <w:textAlignment w:val="center"/>
              <w:rPr>
                <w:rFonts w:ascii="Times New Roman" w:hAnsi="Times New Roman" w:cs="Times New Roman"/>
                <w:sz w:val="18"/>
                <w:szCs w:val="18"/>
              </w:rPr>
            </w:pPr>
          </w:p>
        </w:tc>
        <w:tc>
          <w:tcPr>
            <w:tcW w:w="616" w:type="dxa"/>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w:t>
            </w:r>
          </w:p>
        </w:tc>
        <w:tc>
          <w:tcPr>
            <w:tcW w:w="2230" w:type="dxa"/>
            <w:vMerge w:val="continue"/>
            <w:vAlign w:val="center"/>
          </w:tcPr>
          <w:p>
            <w:pPr>
              <w:widowControl/>
              <w:spacing w:line="200" w:lineRule="exact"/>
              <w:textAlignment w:val="center"/>
              <w:rPr>
                <w:rFonts w:ascii="Times New Roman" w:hAnsi="Times New Roman" w:cs="Times New Roman"/>
                <w:sz w:val="18"/>
                <w:szCs w:val="18"/>
              </w:rPr>
            </w:pPr>
          </w:p>
        </w:tc>
        <w:tc>
          <w:tcPr>
            <w:tcW w:w="3436" w:type="dxa"/>
            <w:vAlign w:val="center"/>
          </w:tcPr>
          <w:p>
            <w:pPr>
              <w:widowControl/>
              <w:spacing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精神病与精神卫生学专业（精神分裂症方向）；</w:t>
            </w:r>
          </w:p>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研究生学历且博士学位</w:t>
            </w:r>
          </w:p>
        </w:tc>
        <w:tc>
          <w:tcPr>
            <w:tcW w:w="70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Merge w:val="continue"/>
            <w:vAlign w:val="center"/>
          </w:tcPr>
          <w:p>
            <w:pPr>
              <w:widowControl/>
              <w:spacing w:line="200" w:lineRule="exact"/>
              <w:textAlignment w:val="center"/>
              <w:rPr>
                <w:rFonts w:ascii="Times New Roman" w:hAnsi="Times New Roman" w:cs="Times New Roman"/>
                <w:b/>
                <w:color w:val="4D4D4D"/>
                <w:kern w:val="0"/>
                <w:sz w:val="18"/>
                <w:szCs w:val="18"/>
              </w:rPr>
            </w:pPr>
          </w:p>
        </w:tc>
        <w:tc>
          <w:tcPr>
            <w:tcW w:w="836" w:type="dxa"/>
            <w:vMerge w:val="continue"/>
            <w:vAlign w:val="center"/>
          </w:tcPr>
          <w:p>
            <w:pPr>
              <w:widowControl/>
              <w:spacing w:line="200" w:lineRule="exact"/>
              <w:jc w:val="center"/>
              <w:textAlignment w:val="center"/>
              <w:rPr>
                <w:rFonts w:ascii="Times New Roman" w:hAnsi="Times New Roman" w:cs="Times New Roman"/>
                <w:sz w:val="18"/>
                <w:szCs w:val="18"/>
              </w:rPr>
            </w:pPr>
          </w:p>
        </w:tc>
        <w:tc>
          <w:tcPr>
            <w:tcW w:w="616" w:type="dxa"/>
            <w:vAlign w:val="center"/>
          </w:tcPr>
          <w:p>
            <w:pPr>
              <w:widowControl/>
              <w:spacing w:line="20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1</w:t>
            </w:r>
          </w:p>
        </w:tc>
        <w:tc>
          <w:tcPr>
            <w:tcW w:w="2230" w:type="dxa"/>
            <w:vMerge w:val="continue"/>
            <w:vAlign w:val="center"/>
          </w:tcPr>
          <w:p>
            <w:pPr>
              <w:widowControl/>
              <w:spacing w:line="200" w:lineRule="exact"/>
              <w:textAlignment w:val="center"/>
              <w:rPr>
                <w:rFonts w:ascii="Times New Roman" w:hAnsi="Times New Roman" w:cs="Times New Roman"/>
                <w:sz w:val="18"/>
                <w:szCs w:val="18"/>
              </w:rPr>
            </w:pPr>
          </w:p>
        </w:tc>
        <w:tc>
          <w:tcPr>
            <w:tcW w:w="3436" w:type="dxa"/>
            <w:vAlign w:val="center"/>
          </w:tcPr>
          <w:p>
            <w:pPr>
              <w:widowControl/>
              <w:spacing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精神病与精神卫生学专业（睡眠医学方向）；</w:t>
            </w:r>
          </w:p>
          <w:p>
            <w:pPr>
              <w:widowControl/>
              <w:spacing w:line="200" w:lineRule="exact"/>
              <w:textAlignment w:val="center"/>
              <w:rPr>
                <w:rFonts w:ascii="Times New Roman" w:hAnsi="Times New Roman" w:cs="Times New Roman"/>
                <w:sz w:val="18"/>
                <w:szCs w:val="18"/>
              </w:rPr>
            </w:pPr>
            <w:r>
              <w:rPr>
                <w:rFonts w:ascii="Times New Roman" w:hAnsi="Times New Roman" w:eastAsia="宋体" w:cs="Times New Roman"/>
                <w:kern w:val="0"/>
                <w:sz w:val="18"/>
                <w:szCs w:val="18"/>
                <w:lang w:bidi="ar"/>
              </w:rPr>
              <w:t>研究生学历且博士学位</w:t>
            </w:r>
          </w:p>
        </w:tc>
        <w:tc>
          <w:tcPr>
            <w:tcW w:w="709" w:type="dxa"/>
            <w:vMerge w:val="continue"/>
            <w:vAlign w:val="center"/>
          </w:tcPr>
          <w:p>
            <w:pPr>
              <w:widowControl/>
              <w:spacing w:line="200" w:lineRule="exact"/>
              <w:jc w:val="center"/>
              <w:rPr>
                <w:rFonts w:ascii="Times New Roman" w:hAnsi="Times New Roman" w:cs="Times New Roman"/>
                <w:b/>
                <w:color w:val="4D4D4D"/>
                <w:kern w:val="0"/>
                <w:sz w:val="18"/>
                <w:szCs w:val="18"/>
              </w:rPr>
            </w:pPr>
          </w:p>
        </w:tc>
        <w:tc>
          <w:tcPr>
            <w:tcW w:w="1823" w:type="dxa"/>
            <w:vMerge w:val="continue"/>
          </w:tcPr>
          <w:p>
            <w:pPr>
              <w:widowControl/>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05" w:type="dxa"/>
            <w:gridSpan w:val="2"/>
            <w:vAlign w:val="center"/>
          </w:tcPr>
          <w:p>
            <w:pPr>
              <w:spacing w:line="200" w:lineRule="exact"/>
              <w:jc w:val="center"/>
              <w:rPr>
                <w:rFonts w:ascii="Times New Roman" w:hAnsi="Times New Roman" w:cs="Times New Roman"/>
                <w:bCs/>
                <w:color w:val="000000"/>
                <w:sz w:val="18"/>
                <w:szCs w:val="18"/>
              </w:rPr>
            </w:pPr>
            <w:r>
              <w:rPr>
                <w:rFonts w:hint="eastAsia" w:ascii="Times New Roman" w:hAnsi="Times New Roman" w:eastAsia="宋体" w:cs="Times New Roman"/>
                <w:kern w:val="0"/>
                <w:sz w:val="18"/>
                <w:szCs w:val="18"/>
                <w:lang w:bidi="ar"/>
              </w:rPr>
              <w:t>合计</w:t>
            </w:r>
          </w:p>
        </w:tc>
        <w:tc>
          <w:tcPr>
            <w:tcW w:w="616" w:type="dxa"/>
            <w:vAlign w:val="center"/>
          </w:tcPr>
          <w:p>
            <w:pPr>
              <w:spacing w:line="200" w:lineRule="exact"/>
              <w:jc w:val="center"/>
              <w:rPr>
                <w:rFonts w:hint="default" w:ascii="Times New Roman" w:hAnsi="Times New Roman" w:eastAsia="宋体" w:cs="Times New Roman"/>
                <w:bCs/>
                <w:color w:val="000000"/>
                <w:sz w:val="18"/>
                <w:szCs w:val="18"/>
                <w:lang w:val="en-US" w:eastAsia="zh-CN"/>
              </w:rPr>
            </w:pPr>
            <w:r>
              <w:rPr>
                <w:rFonts w:hint="eastAsia" w:ascii="Times New Roman" w:hAnsi="Times New Roman" w:eastAsia="宋体" w:cs="Times New Roman"/>
                <w:bCs/>
                <w:color w:val="000000"/>
                <w:sz w:val="18"/>
                <w:szCs w:val="18"/>
              </w:rPr>
              <w:t>5</w:t>
            </w:r>
            <w:r>
              <w:rPr>
                <w:rFonts w:hint="eastAsia" w:ascii="Times New Roman" w:hAnsi="Times New Roman" w:eastAsia="宋体" w:cs="Times New Roman"/>
                <w:bCs/>
                <w:color w:val="000000"/>
                <w:sz w:val="18"/>
                <w:szCs w:val="18"/>
                <w:lang w:val="en-US" w:eastAsia="zh-CN"/>
              </w:rPr>
              <w:t>09</w:t>
            </w:r>
            <w:bookmarkStart w:id="0" w:name="_GoBack"/>
            <w:bookmarkEnd w:id="0"/>
          </w:p>
        </w:tc>
        <w:tc>
          <w:tcPr>
            <w:tcW w:w="2230" w:type="dxa"/>
            <w:vAlign w:val="center"/>
          </w:tcPr>
          <w:p>
            <w:pPr>
              <w:pStyle w:val="4"/>
              <w:spacing w:before="0" w:beforeAutospacing="0" w:after="0" w:afterAutospacing="0" w:line="200" w:lineRule="exact"/>
              <w:rPr>
                <w:rFonts w:ascii="Times New Roman" w:hAnsi="Times New Roman" w:cs="Times New Roman"/>
                <w:bCs/>
                <w:sz w:val="18"/>
                <w:szCs w:val="18"/>
              </w:rPr>
            </w:pPr>
          </w:p>
        </w:tc>
        <w:tc>
          <w:tcPr>
            <w:tcW w:w="3436" w:type="dxa"/>
            <w:vAlign w:val="center"/>
          </w:tcPr>
          <w:p>
            <w:pPr>
              <w:pStyle w:val="4"/>
              <w:spacing w:before="0" w:beforeAutospacing="0" w:after="0" w:afterAutospacing="0" w:line="200" w:lineRule="exact"/>
              <w:rPr>
                <w:rFonts w:ascii="Times New Roman" w:hAnsi="Times New Roman" w:cs="Times New Roman"/>
                <w:bCs/>
                <w:sz w:val="18"/>
                <w:szCs w:val="18"/>
              </w:rPr>
            </w:pPr>
          </w:p>
        </w:tc>
        <w:tc>
          <w:tcPr>
            <w:tcW w:w="709" w:type="dxa"/>
            <w:vAlign w:val="center"/>
          </w:tcPr>
          <w:p>
            <w:pPr>
              <w:widowControl/>
              <w:spacing w:line="200" w:lineRule="exact"/>
              <w:jc w:val="center"/>
              <w:rPr>
                <w:rFonts w:ascii="Times New Roman" w:hAnsi="Times New Roman" w:eastAsia="宋体" w:cs="Times New Roman"/>
                <w:kern w:val="0"/>
                <w:sz w:val="18"/>
                <w:szCs w:val="18"/>
              </w:rPr>
            </w:pPr>
          </w:p>
        </w:tc>
        <w:tc>
          <w:tcPr>
            <w:tcW w:w="1823" w:type="dxa"/>
          </w:tcPr>
          <w:p>
            <w:pPr>
              <w:widowControl/>
              <w:spacing w:line="200" w:lineRule="exact"/>
              <w:jc w:val="left"/>
              <w:rPr>
                <w:rFonts w:ascii="Times New Roman" w:hAnsi="Times New Roman" w:eastAsia="宋体" w:cs="Times New Roman"/>
                <w:kern w:val="0"/>
                <w:sz w:val="18"/>
                <w:szCs w:val="18"/>
                <w:lang w:bidi="ar"/>
              </w:rPr>
            </w:pPr>
          </w:p>
        </w:tc>
      </w:tr>
    </w:tbl>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注：</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2025年普通高等院校应届毕业生需在2025年9月30日取得相应的学历、学位。2024年10月1日至2025年9月30日毕业的国（境）外留学回国（境）人员可等同于国内2025年普通应届毕业生，报考时仍未毕业的可凭国（境）外学校学籍证明报名,但须于2025年12月31日前取得国家教育部出具的学历学位认证书（到时未取得的不予录用），专业相近的以所学课程为准。</w:t>
      </w:r>
    </w:p>
    <w:p>
      <w:pPr>
        <w:numPr>
          <w:ilvl w:val="0"/>
          <w:numId w:val="1"/>
        </w:num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除面向2025年普通高等院校应届毕业生的岗位外，其他岗位要求的学历（学位）、职称、执业资格、上岗合格证书、规培合格证书取得时间和年龄、工作经历计算截止时间均为公告发布之日。</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下列情形者视同2025年普通应届毕业生对待：1.2023年、2024年普通高校毕业生（2022年10月1日至2024年9月30日毕业），或同期毕业并可在2025年12月底前取得学位证书和国家教育部出具的学历学位认证书的国（境）外留学人员；2.列入国家统招计划，由培养学校统一进行就业推荐和毕业派遣，按培养计划应于2025年毕业，有类似初次就业需求的非全日制研究生（不含在职攻读学历学位人员）；3.按国家政策规定享受应届毕业生就业待遇的其他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ZDk2NTBhYmRhZjVjOWIxYjFkNTZiODllOTBlZWEifQ=="/>
    <w:docVar w:name="KSO_WPS_MARK_KEY" w:val="44337030-e557-4a68-b56e-ce145bbecd1e"/>
  </w:docVars>
  <w:rsids>
    <w:rsidRoot w:val="00E62890"/>
    <w:rsid w:val="000172F5"/>
    <w:rsid w:val="00017C10"/>
    <w:rsid w:val="000306A3"/>
    <w:rsid w:val="00061EBD"/>
    <w:rsid w:val="00081766"/>
    <w:rsid w:val="00084FB6"/>
    <w:rsid w:val="0008523D"/>
    <w:rsid w:val="000877FF"/>
    <w:rsid w:val="000B5942"/>
    <w:rsid w:val="000B6675"/>
    <w:rsid w:val="000D1454"/>
    <w:rsid w:val="000D53F0"/>
    <w:rsid w:val="000E5255"/>
    <w:rsid w:val="000F01D6"/>
    <w:rsid w:val="000F0965"/>
    <w:rsid w:val="000F416D"/>
    <w:rsid w:val="00120C65"/>
    <w:rsid w:val="00122361"/>
    <w:rsid w:val="001241C7"/>
    <w:rsid w:val="001265E8"/>
    <w:rsid w:val="00131580"/>
    <w:rsid w:val="00132357"/>
    <w:rsid w:val="0013367C"/>
    <w:rsid w:val="00156A14"/>
    <w:rsid w:val="00174254"/>
    <w:rsid w:val="00180FB9"/>
    <w:rsid w:val="001917CB"/>
    <w:rsid w:val="001A444E"/>
    <w:rsid w:val="001B0487"/>
    <w:rsid w:val="001C551B"/>
    <w:rsid w:val="001D5160"/>
    <w:rsid w:val="001F3F9F"/>
    <w:rsid w:val="002127FF"/>
    <w:rsid w:val="00215DF6"/>
    <w:rsid w:val="0021781C"/>
    <w:rsid w:val="00222DDA"/>
    <w:rsid w:val="00224D5E"/>
    <w:rsid w:val="002349CC"/>
    <w:rsid w:val="00252EB9"/>
    <w:rsid w:val="00257871"/>
    <w:rsid w:val="00275898"/>
    <w:rsid w:val="00281DC6"/>
    <w:rsid w:val="002964A9"/>
    <w:rsid w:val="002A43B5"/>
    <w:rsid w:val="002B2FAC"/>
    <w:rsid w:val="002D79CE"/>
    <w:rsid w:val="002E0041"/>
    <w:rsid w:val="0030694E"/>
    <w:rsid w:val="00316625"/>
    <w:rsid w:val="00322201"/>
    <w:rsid w:val="00333D9E"/>
    <w:rsid w:val="00341419"/>
    <w:rsid w:val="003641F3"/>
    <w:rsid w:val="00376110"/>
    <w:rsid w:val="00380893"/>
    <w:rsid w:val="003855AE"/>
    <w:rsid w:val="003906C8"/>
    <w:rsid w:val="003A66C1"/>
    <w:rsid w:val="003D0434"/>
    <w:rsid w:val="003D54B8"/>
    <w:rsid w:val="003F18DA"/>
    <w:rsid w:val="004145AD"/>
    <w:rsid w:val="00414FE7"/>
    <w:rsid w:val="004367A3"/>
    <w:rsid w:val="00437CDD"/>
    <w:rsid w:val="004454D9"/>
    <w:rsid w:val="00452BD7"/>
    <w:rsid w:val="00464ECF"/>
    <w:rsid w:val="00470771"/>
    <w:rsid w:val="00473DE0"/>
    <w:rsid w:val="004752F5"/>
    <w:rsid w:val="004766EB"/>
    <w:rsid w:val="00483808"/>
    <w:rsid w:val="00497F28"/>
    <w:rsid w:val="004A3BE2"/>
    <w:rsid w:val="004A4B13"/>
    <w:rsid w:val="004A5B09"/>
    <w:rsid w:val="004B1C8A"/>
    <w:rsid w:val="004B4D34"/>
    <w:rsid w:val="004B7CDD"/>
    <w:rsid w:val="004D2780"/>
    <w:rsid w:val="004E2EAC"/>
    <w:rsid w:val="004E3A87"/>
    <w:rsid w:val="004F15DC"/>
    <w:rsid w:val="00514766"/>
    <w:rsid w:val="00520629"/>
    <w:rsid w:val="00544F26"/>
    <w:rsid w:val="00552795"/>
    <w:rsid w:val="00564B0B"/>
    <w:rsid w:val="00577008"/>
    <w:rsid w:val="00594588"/>
    <w:rsid w:val="005963BA"/>
    <w:rsid w:val="00597B50"/>
    <w:rsid w:val="005A79F2"/>
    <w:rsid w:val="005B14B7"/>
    <w:rsid w:val="005B24D8"/>
    <w:rsid w:val="005B6B7B"/>
    <w:rsid w:val="005D0018"/>
    <w:rsid w:val="005D346D"/>
    <w:rsid w:val="005F0A6B"/>
    <w:rsid w:val="005F37CC"/>
    <w:rsid w:val="005F3A55"/>
    <w:rsid w:val="0060434F"/>
    <w:rsid w:val="00605005"/>
    <w:rsid w:val="006115FE"/>
    <w:rsid w:val="00623B07"/>
    <w:rsid w:val="00627EB9"/>
    <w:rsid w:val="006378D1"/>
    <w:rsid w:val="0066532E"/>
    <w:rsid w:val="006657DC"/>
    <w:rsid w:val="006871A3"/>
    <w:rsid w:val="00690402"/>
    <w:rsid w:val="006A655F"/>
    <w:rsid w:val="006D1540"/>
    <w:rsid w:val="006D6BF3"/>
    <w:rsid w:val="006E4316"/>
    <w:rsid w:val="006E6E79"/>
    <w:rsid w:val="006F4E7F"/>
    <w:rsid w:val="0071608F"/>
    <w:rsid w:val="00716645"/>
    <w:rsid w:val="00720877"/>
    <w:rsid w:val="00731779"/>
    <w:rsid w:val="00746F4A"/>
    <w:rsid w:val="00747EF1"/>
    <w:rsid w:val="00751BCC"/>
    <w:rsid w:val="00764133"/>
    <w:rsid w:val="00774C98"/>
    <w:rsid w:val="0079234F"/>
    <w:rsid w:val="0079523D"/>
    <w:rsid w:val="007A517F"/>
    <w:rsid w:val="007D4547"/>
    <w:rsid w:val="007D7695"/>
    <w:rsid w:val="007E29A8"/>
    <w:rsid w:val="007E363D"/>
    <w:rsid w:val="007E5FF0"/>
    <w:rsid w:val="00827615"/>
    <w:rsid w:val="00834E7E"/>
    <w:rsid w:val="00865A72"/>
    <w:rsid w:val="008673F7"/>
    <w:rsid w:val="00867BC3"/>
    <w:rsid w:val="008779E5"/>
    <w:rsid w:val="008A2E64"/>
    <w:rsid w:val="008C65AF"/>
    <w:rsid w:val="008F293E"/>
    <w:rsid w:val="008F519A"/>
    <w:rsid w:val="009037C9"/>
    <w:rsid w:val="0091493C"/>
    <w:rsid w:val="00933133"/>
    <w:rsid w:val="00934A95"/>
    <w:rsid w:val="00942BDC"/>
    <w:rsid w:val="0094643C"/>
    <w:rsid w:val="00954C2F"/>
    <w:rsid w:val="00954CEF"/>
    <w:rsid w:val="0095675E"/>
    <w:rsid w:val="0098287C"/>
    <w:rsid w:val="00991A1D"/>
    <w:rsid w:val="009A0D67"/>
    <w:rsid w:val="009A3C60"/>
    <w:rsid w:val="009A7503"/>
    <w:rsid w:val="009B1254"/>
    <w:rsid w:val="009B552E"/>
    <w:rsid w:val="009C2D52"/>
    <w:rsid w:val="009C4692"/>
    <w:rsid w:val="009C72A8"/>
    <w:rsid w:val="009D1AB3"/>
    <w:rsid w:val="009D4843"/>
    <w:rsid w:val="009F26E1"/>
    <w:rsid w:val="009F4610"/>
    <w:rsid w:val="00A03A07"/>
    <w:rsid w:val="00A03FA6"/>
    <w:rsid w:val="00A25157"/>
    <w:rsid w:val="00A53770"/>
    <w:rsid w:val="00A57FA8"/>
    <w:rsid w:val="00A6170D"/>
    <w:rsid w:val="00A759AF"/>
    <w:rsid w:val="00A81BB2"/>
    <w:rsid w:val="00A823D3"/>
    <w:rsid w:val="00AB363B"/>
    <w:rsid w:val="00AD1D6B"/>
    <w:rsid w:val="00AE1F86"/>
    <w:rsid w:val="00AE27B9"/>
    <w:rsid w:val="00AE4E35"/>
    <w:rsid w:val="00AF1A92"/>
    <w:rsid w:val="00B01A35"/>
    <w:rsid w:val="00B04D5D"/>
    <w:rsid w:val="00B077EE"/>
    <w:rsid w:val="00B142C3"/>
    <w:rsid w:val="00B20A60"/>
    <w:rsid w:val="00B25E0A"/>
    <w:rsid w:val="00B56566"/>
    <w:rsid w:val="00B6672A"/>
    <w:rsid w:val="00B70DB3"/>
    <w:rsid w:val="00B816CA"/>
    <w:rsid w:val="00B85DD1"/>
    <w:rsid w:val="00B86BE7"/>
    <w:rsid w:val="00B91F64"/>
    <w:rsid w:val="00BA1274"/>
    <w:rsid w:val="00BB3EDB"/>
    <w:rsid w:val="00BC5633"/>
    <w:rsid w:val="00BC56D2"/>
    <w:rsid w:val="00BD1CD3"/>
    <w:rsid w:val="00BD6551"/>
    <w:rsid w:val="00BD74BC"/>
    <w:rsid w:val="00BD77B7"/>
    <w:rsid w:val="00BE252D"/>
    <w:rsid w:val="00BF4CA1"/>
    <w:rsid w:val="00BF4CEF"/>
    <w:rsid w:val="00C0313C"/>
    <w:rsid w:val="00C065AA"/>
    <w:rsid w:val="00C16E08"/>
    <w:rsid w:val="00C2266A"/>
    <w:rsid w:val="00C53524"/>
    <w:rsid w:val="00C54DD5"/>
    <w:rsid w:val="00C55ACA"/>
    <w:rsid w:val="00C675B7"/>
    <w:rsid w:val="00C705AB"/>
    <w:rsid w:val="00C8351A"/>
    <w:rsid w:val="00C86FAC"/>
    <w:rsid w:val="00C94BDF"/>
    <w:rsid w:val="00CA3F8F"/>
    <w:rsid w:val="00CD1A93"/>
    <w:rsid w:val="00CD2BC1"/>
    <w:rsid w:val="00CE39AE"/>
    <w:rsid w:val="00CF2A40"/>
    <w:rsid w:val="00CF7AD3"/>
    <w:rsid w:val="00D0222F"/>
    <w:rsid w:val="00D0426A"/>
    <w:rsid w:val="00D065F1"/>
    <w:rsid w:val="00D16EB8"/>
    <w:rsid w:val="00D24097"/>
    <w:rsid w:val="00D36515"/>
    <w:rsid w:val="00D3713B"/>
    <w:rsid w:val="00D422B3"/>
    <w:rsid w:val="00D57878"/>
    <w:rsid w:val="00D60E77"/>
    <w:rsid w:val="00D62302"/>
    <w:rsid w:val="00D63E31"/>
    <w:rsid w:val="00D8729D"/>
    <w:rsid w:val="00D92363"/>
    <w:rsid w:val="00DC1402"/>
    <w:rsid w:val="00DC6B0A"/>
    <w:rsid w:val="00DD2766"/>
    <w:rsid w:val="00DD4077"/>
    <w:rsid w:val="00E11ED6"/>
    <w:rsid w:val="00E14FD7"/>
    <w:rsid w:val="00E17ABB"/>
    <w:rsid w:val="00E354A6"/>
    <w:rsid w:val="00E36C56"/>
    <w:rsid w:val="00E40187"/>
    <w:rsid w:val="00E43CCE"/>
    <w:rsid w:val="00E62890"/>
    <w:rsid w:val="00E64D20"/>
    <w:rsid w:val="00E96625"/>
    <w:rsid w:val="00EA5AE3"/>
    <w:rsid w:val="00EB17AE"/>
    <w:rsid w:val="00EB523E"/>
    <w:rsid w:val="00EC28CE"/>
    <w:rsid w:val="00EC5BA5"/>
    <w:rsid w:val="00EE36C5"/>
    <w:rsid w:val="00EF018E"/>
    <w:rsid w:val="00F12FFD"/>
    <w:rsid w:val="00F20AB7"/>
    <w:rsid w:val="00F23E2A"/>
    <w:rsid w:val="00F45111"/>
    <w:rsid w:val="00F75093"/>
    <w:rsid w:val="00F76D0B"/>
    <w:rsid w:val="00F818C4"/>
    <w:rsid w:val="00F8640D"/>
    <w:rsid w:val="00F92420"/>
    <w:rsid w:val="00F97BDB"/>
    <w:rsid w:val="00FB2F27"/>
    <w:rsid w:val="00FB587B"/>
    <w:rsid w:val="00FB7E34"/>
    <w:rsid w:val="00FD4B6B"/>
    <w:rsid w:val="00FD6D41"/>
    <w:rsid w:val="00FD7ECC"/>
    <w:rsid w:val="00FE722E"/>
    <w:rsid w:val="00FF0978"/>
    <w:rsid w:val="00FF5CF2"/>
    <w:rsid w:val="00FF78A1"/>
    <w:rsid w:val="02B5507D"/>
    <w:rsid w:val="03F637F9"/>
    <w:rsid w:val="0FD93EA6"/>
    <w:rsid w:val="1FFDA7E5"/>
    <w:rsid w:val="202B07D6"/>
    <w:rsid w:val="21410FD8"/>
    <w:rsid w:val="25A36474"/>
    <w:rsid w:val="353FB112"/>
    <w:rsid w:val="366D0E58"/>
    <w:rsid w:val="37ABD08F"/>
    <w:rsid w:val="37CE0185"/>
    <w:rsid w:val="38DB1653"/>
    <w:rsid w:val="38EE1F88"/>
    <w:rsid w:val="39964B88"/>
    <w:rsid w:val="3B231CC3"/>
    <w:rsid w:val="3B8E2ACB"/>
    <w:rsid w:val="3BBF6C31"/>
    <w:rsid w:val="3BCD56D5"/>
    <w:rsid w:val="3EFF24DD"/>
    <w:rsid w:val="3F779804"/>
    <w:rsid w:val="46CC5900"/>
    <w:rsid w:val="4BC62629"/>
    <w:rsid w:val="4BF93D28"/>
    <w:rsid w:val="52A0174F"/>
    <w:rsid w:val="530C0FAE"/>
    <w:rsid w:val="59D37222"/>
    <w:rsid w:val="5B11609C"/>
    <w:rsid w:val="5E9BDD1A"/>
    <w:rsid w:val="5EE3243A"/>
    <w:rsid w:val="5FBECE92"/>
    <w:rsid w:val="5FBFE251"/>
    <w:rsid w:val="5FF2FB07"/>
    <w:rsid w:val="5FF7AC9F"/>
    <w:rsid w:val="60370316"/>
    <w:rsid w:val="60F74EB0"/>
    <w:rsid w:val="641520B6"/>
    <w:rsid w:val="65812C52"/>
    <w:rsid w:val="658C1238"/>
    <w:rsid w:val="671DE7F9"/>
    <w:rsid w:val="67DF71CC"/>
    <w:rsid w:val="67FE9E3A"/>
    <w:rsid w:val="6B526D8E"/>
    <w:rsid w:val="6BE447FF"/>
    <w:rsid w:val="6BEFD71B"/>
    <w:rsid w:val="6C5D4A96"/>
    <w:rsid w:val="6EB4F398"/>
    <w:rsid w:val="6FFF3B86"/>
    <w:rsid w:val="72AD780C"/>
    <w:rsid w:val="76933041"/>
    <w:rsid w:val="77CB9002"/>
    <w:rsid w:val="78FF568A"/>
    <w:rsid w:val="79A434AC"/>
    <w:rsid w:val="7AFDBF10"/>
    <w:rsid w:val="7B639B43"/>
    <w:rsid w:val="7B8EC58A"/>
    <w:rsid w:val="7C45C8C9"/>
    <w:rsid w:val="7DBFB771"/>
    <w:rsid w:val="7E9B114D"/>
    <w:rsid w:val="7EA52354"/>
    <w:rsid w:val="7EEF4CC1"/>
    <w:rsid w:val="7EFCAC83"/>
    <w:rsid w:val="7FA54B8B"/>
    <w:rsid w:val="7FAA7D13"/>
    <w:rsid w:val="7FBCF33A"/>
    <w:rsid w:val="7FBFDA0E"/>
    <w:rsid w:val="7FCFA2A6"/>
    <w:rsid w:val="7FE8B9F9"/>
    <w:rsid w:val="7FED5689"/>
    <w:rsid w:val="7FFD1C48"/>
    <w:rsid w:val="9FFBF6AD"/>
    <w:rsid w:val="AF7F3F3C"/>
    <w:rsid w:val="B1EDD0BD"/>
    <w:rsid w:val="B6CF7D2F"/>
    <w:rsid w:val="BD3F1A50"/>
    <w:rsid w:val="BF73A7FF"/>
    <w:rsid w:val="BF7EF7B9"/>
    <w:rsid w:val="C3BAD0BF"/>
    <w:rsid w:val="CE9FDDDD"/>
    <w:rsid w:val="D74E3127"/>
    <w:rsid w:val="D7D3CD64"/>
    <w:rsid w:val="D7F71629"/>
    <w:rsid w:val="DFA9CF95"/>
    <w:rsid w:val="DFCD2CFA"/>
    <w:rsid w:val="DFFF1F06"/>
    <w:rsid w:val="E3DFCFD1"/>
    <w:rsid w:val="E7DD05DA"/>
    <w:rsid w:val="E7FF21F4"/>
    <w:rsid w:val="EDD36BAC"/>
    <w:rsid w:val="EFD5E25C"/>
    <w:rsid w:val="F47F8131"/>
    <w:rsid w:val="F75C3D4F"/>
    <w:rsid w:val="F8FF2FF3"/>
    <w:rsid w:val="F9EE4902"/>
    <w:rsid w:val="FAA5F780"/>
    <w:rsid w:val="FB57A9CD"/>
    <w:rsid w:val="FB7FB732"/>
    <w:rsid w:val="FBEDF09A"/>
    <w:rsid w:val="FBF1C0F6"/>
    <w:rsid w:val="FCFB129C"/>
    <w:rsid w:val="FD3B993F"/>
    <w:rsid w:val="FDFC14B2"/>
    <w:rsid w:val="FEFB5FEC"/>
    <w:rsid w:val="FF6DE2BA"/>
    <w:rsid w:val="FFBE35FC"/>
    <w:rsid w:val="FFD9F162"/>
    <w:rsid w:val="FFDFA1B6"/>
    <w:rsid w:val="FFEFE158"/>
    <w:rsid w:val="FFFD09C3"/>
    <w:rsid w:val="FFFFC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u w:val="single"/>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character" w:customStyle="1" w:styleId="11">
    <w:name w:val="detail_title1"/>
    <w:basedOn w:val="7"/>
    <w:qFormat/>
    <w:uiPriority w:val="0"/>
    <w:rPr>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899</Words>
  <Characters>5125</Characters>
  <Lines>42</Lines>
  <Paragraphs>12</Paragraphs>
  <TotalTime>207</TotalTime>
  <ScaleCrop>false</ScaleCrop>
  <LinksUpToDate>false</LinksUpToDate>
  <CharactersWithSpaces>6012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2022-08-19T09:09:00Z</dcterms:created>
  <dc:creator>李薇薇</dc:creator>
  <cp:lastModifiedBy>User</cp:lastModifiedBy>
  <cp:lastPrinted>2023-08-25T00:15:00Z</cp:lastPrinted>
  <dcterms:modified xsi:type="dcterms:W3CDTF">2024-10-28T19:06:31Z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BF960927ED974F15A28BB435463D3938_13</vt:lpwstr>
  </property>
</Properties>
</file>