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ascii="CESI黑体-GB2312" w:hAnsi="CESI黑体-GB2312" w:eastAsia="CESI黑体-GB2312" w:cs="CESI黑体-GB2312"/>
          <w:color w:val="auto"/>
          <w:sz w:val="32"/>
          <w:szCs w:val="32"/>
        </w:rPr>
      </w:pPr>
      <w:bookmarkStart w:id="0" w:name="_GoBack"/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2024年度淮南市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科学技术协会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所属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淮南市科学技术馆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公开招聘硕士研究生及以上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学历人员岗位计划表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60" w:lineRule="exact"/>
        <w:jc w:val="left"/>
        <w:textAlignment w:val="auto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24"/>
        <w:gridCol w:w="832"/>
        <w:gridCol w:w="1575"/>
        <w:gridCol w:w="1737"/>
        <w:gridCol w:w="1029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招聘单位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8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43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招聘岗位所需资格条件</w:t>
            </w:r>
          </w:p>
        </w:tc>
        <w:tc>
          <w:tcPr>
            <w:tcW w:w="14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联系人及联系电话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学历、学位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淮南市科学技术馆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技术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硕士：机械工程</w:t>
            </w:r>
            <w:r>
              <w:rPr>
                <w:rFonts w:hint="eastAsia" w:ascii="仿宋" w:hAnsi="仿宋" w:eastAsia="仿宋" w:cs="仿宋"/>
                <w:color w:val="auto"/>
              </w:rPr>
              <w:t>（08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color w:val="auto"/>
              </w:rPr>
              <w:t>）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应届硕士研究生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及以上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</w:rPr>
              <w:t>周岁以下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邹一凡</w:t>
            </w:r>
            <w:r>
              <w:rPr>
                <w:rFonts w:hint="eastAsia" w:ascii="仿宋" w:hAnsi="仿宋" w:eastAsia="仿宋" w:cs="仿宋"/>
                <w:color w:val="auto"/>
              </w:rPr>
              <w:t>0554-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6641977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9B0804"/>
    <w:rsid w:val="774FE03A"/>
    <w:rsid w:val="CB9B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2024-11-07T10:29:00Z</dcterms:created>
  <dc:creator>uos</dc:creator>
  <cp:lastModifiedBy>uos</cp:lastModifiedBy>
  <dcterms:modified xsi:type="dcterms:W3CDTF">2024-11-07T10:30:09Z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1E70323A612D0C200A262C67A31AC7B4</vt:lpwstr>
  </property>
</Properties>
</file>