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附件4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End w:id="0"/>
    </w:p>
    <w:p>
      <w:pPr>
        <w:tabs>
          <w:tab w:val="left" w:pos="7502"/>
        </w:tabs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15535" w:type="dxa"/>
        <w:tblInd w:w="-5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28"/>
        <w:gridCol w:w="747"/>
        <w:gridCol w:w="615"/>
        <w:gridCol w:w="509"/>
        <w:gridCol w:w="638"/>
        <w:gridCol w:w="1910"/>
        <w:gridCol w:w="766"/>
        <w:gridCol w:w="681"/>
        <w:gridCol w:w="766"/>
        <w:gridCol w:w="962"/>
        <w:gridCol w:w="885"/>
        <w:gridCol w:w="2771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53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/>
                <w:b/>
                <w:bCs/>
                <w:sz w:val="44"/>
                <w:szCs w:val="44"/>
                <w:lang w:val="en-US" w:eastAsia="zh-CN" w:bidi="ar"/>
              </w:rPr>
              <w:t>东莞市</w:t>
            </w:r>
            <w:r>
              <w:rPr>
                <w:rStyle w:val="5"/>
                <w:rFonts w:hint="default" w:ascii="Times New Roman" w:hAnsi="Times New Roman"/>
                <w:b/>
                <w:bCs/>
                <w:sz w:val="44"/>
                <w:szCs w:val="44"/>
                <w:lang w:val="en" w:eastAsia="zh-CN" w:bidi="ar"/>
              </w:rPr>
              <w:t>口岸服务中心</w:t>
            </w:r>
            <w:r>
              <w:rPr>
                <w:rStyle w:val="6"/>
                <w:rFonts w:ascii="Times New Roman" w:hAnsi="Times New Roman" w:eastAsia="宋体"/>
                <w:b/>
                <w:bCs/>
                <w:sz w:val="44"/>
                <w:szCs w:val="44"/>
                <w:lang w:val="en-US" w:eastAsia="zh-CN" w:bidi="ar"/>
              </w:rPr>
              <w:t>202</w:t>
            </w:r>
            <w:r>
              <w:rPr>
                <w:rStyle w:val="6"/>
                <w:rFonts w:hint="eastAsia" w:ascii="Times New Roman" w:hAnsi="Times New Roman" w:eastAsia="宋体"/>
                <w:b/>
                <w:bCs/>
                <w:sz w:val="44"/>
                <w:szCs w:val="44"/>
                <w:lang w:val="en-US" w:eastAsia="zh-CN" w:bidi="ar"/>
              </w:rPr>
              <w:t>4</w:t>
            </w:r>
            <w:r>
              <w:rPr>
                <w:rStyle w:val="5"/>
                <w:rFonts w:ascii="Times New Roman" w:hAnsi="Times New Roman"/>
                <w:b/>
                <w:bCs/>
                <w:sz w:val="44"/>
                <w:szCs w:val="44"/>
                <w:lang w:val="en-US" w:eastAsia="zh-CN" w:bidi="ar"/>
              </w:rPr>
              <w:t>年自主（公开）招聘聘用人员岗位表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9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6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7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专业（研究生）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专业（本科）</w:t>
            </w:r>
          </w:p>
        </w:tc>
        <w:tc>
          <w:tcPr>
            <w:tcW w:w="3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东莞市商务局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东莞市口岸服务中心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第四类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从事固定资产清查、登记、调配等工作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社会人员/应届毕业生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测绘工程（B081301）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地理信息科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（B070504）</w:t>
            </w:r>
          </w:p>
          <w:p>
            <w:pPr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土地资源管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（B120404）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非本市户籍人员需提供在本市2年以上工作经历证明，以社保参保时间为准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东莞市商务局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东莞市口岸服务中心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第四类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从事财务预算、决算等工作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社会人员/应届毕业生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7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审计学（B120207）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财务管理（B120204）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非本市户籍人员需提供在本市2年以上工作经历证明，以社保参保时间为准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东莞市商务局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东莞市口岸服务中心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第四类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负责口岸应急处置和安全生产等工作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社会人员/应届毕业生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公共事业管理（B120401）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应急技术与管理（B083002）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非本市户籍人员需提供在本市2年以上工作经历证明，以社保参保时间为准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东莞市商务局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东莞市口岸服务中心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系统开发岗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从事口岸相关信息化系统项目管理、软件开发、软硬件运行维护、企业咨询服务等相关工作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社会人员/应届毕业生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计算机科学与技术（A0812）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计算机技术硕士（专业硕士）（A084004）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软件工程硕士（专业硕士）（A084005）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大数据技术与工程硕士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（专业硕士）（A084011)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上班地点：东莞市内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6370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84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3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备注：年龄和工作经验时间计算截止到2024年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7502"/>
        </w:tabs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179" w:right="1270" w:bottom="1179" w:left="127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6676E"/>
    <w:rsid w:val="0D66676E"/>
    <w:rsid w:val="6987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56"/>
      <w:szCs w:val="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2024-11-26T07:23:00Z</dcterms:created>
  <dc:creator>hp</dc:creator>
  <cp:lastModifiedBy>hp</cp:lastModifiedBy>
  <dcterms:modified xsi:type="dcterms:W3CDTF">2024-11-26T07:39:10Z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