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/>
          <w:color w:val="auto"/>
        </w:rPr>
      </w:pPr>
      <w:bookmarkStart w:id="0" w:name="_GoBack"/>
      <w:r>
        <w:rPr>
          <w:rFonts w:hint="eastAsia"/>
          <w:color w:val="auto"/>
        </w:rPr>
        <w:t>附件1：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</w:rPr>
      </w:pPr>
      <w:r>
        <w:rPr>
          <w:rFonts w:hint="eastAsia"/>
          <w:color w:val="auto"/>
        </w:rPr>
        <w:t>2024年浙江省苍南中学招引中高层次人才岗位一览表</w:t>
      </w:r>
    </w:p>
    <w:tbl>
      <w:tblPr>
        <w:tblStyle w:val="7"/>
        <w:tblW w:w="92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824"/>
        <w:gridCol w:w="653"/>
        <w:gridCol w:w="569"/>
        <w:gridCol w:w="608"/>
        <w:gridCol w:w="562"/>
        <w:gridCol w:w="1226"/>
        <w:gridCol w:w="1131"/>
        <w:gridCol w:w="907"/>
        <w:gridCol w:w="728"/>
        <w:gridCol w:w="15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</w:t>
            </w:r>
            <w:r>
              <w:rPr>
                <w:color w:val="auto"/>
                <w:sz w:val="22"/>
                <w:szCs w:val="22"/>
              </w:rPr>
              <w:t>代码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剩余指标数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学历要求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学位</w:t>
            </w:r>
            <w:r>
              <w:rPr>
                <w:color w:val="auto"/>
                <w:sz w:val="22"/>
                <w:szCs w:val="22"/>
              </w:rPr>
              <w:t>要求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毕业高校及所学专业要求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年龄要求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教师资格证要求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户籍要求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eastAsia="方正书宋简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普高数学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08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学士及以上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C9联盟高校相关专业应往届毕业生或教育部直属师范大学2024、2025届相关专业师范类毕业生。</w:t>
            </w:r>
          </w:p>
        </w:tc>
        <w:tc>
          <w:tcPr>
            <w:tcW w:w="1131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本科、硕士研究生：1995年1月1日及以后出生；博士研究生：</w:t>
            </w:r>
            <w:r>
              <w:rPr>
                <w:color w:val="auto"/>
                <w:sz w:val="22"/>
                <w:szCs w:val="22"/>
              </w:rPr>
              <w:t>1985</w:t>
            </w:r>
            <w:r>
              <w:rPr>
                <w:rFonts w:hint="eastAsia"/>
                <w:color w:val="auto"/>
                <w:sz w:val="22"/>
                <w:szCs w:val="22"/>
              </w:rPr>
              <w:t>年1月1日及以后出生。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须于</w:t>
            </w:r>
            <w:r>
              <w:rPr>
                <w:color w:val="auto"/>
                <w:sz w:val="22"/>
                <w:szCs w:val="22"/>
              </w:rPr>
              <w:t>2026</w:t>
            </w:r>
            <w:r>
              <w:rPr>
                <w:rFonts w:hint="eastAsia"/>
                <w:color w:val="auto"/>
                <w:sz w:val="22"/>
                <w:szCs w:val="22"/>
              </w:rPr>
              <w:t>年</w:t>
            </w:r>
            <w:r>
              <w:rPr>
                <w:color w:val="auto"/>
                <w:sz w:val="22"/>
                <w:szCs w:val="22"/>
              </w:rPr>
              <w:t>8</w:t>
            </w:r>
            <w:r>
              <w:rPr>
                <w:rFonts w:hint="eastAsia"/>
                <w:color w:val="auto"/>
                <w:sz w:val="22"/>
                <w:szCs w:val="22"/>
              </w:rPr>
              <w:t>月</w:t>
            </w:r>
            <w:r>
              <w:rPr>
                <w:color w:val="auto"/>
                <w:sz w:val="22"/>
                <w:szCs w:val="22"/>
              </w:rPr>
              <w:t>31</w:t>
            </w:r>
            <w:r>
              <w:rPr>
                <w:rFonts w:hint="eastAsia"/>
                <w:color w:val="auto"/>
                <w:sz w:val="22"/>
                <w:szCs w:val="22"/>
              </w:rPr>
              <w:t>日前取得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户籍不限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岗位表所列学科</w:t>
            </w:r>
            <w:r>
              <w:rPr>
                <w:rFonts w:hint="eastAsia"/>
                <w:color w:val="auto"/>
                <w:sz w:val="22"/>
                <w:szCs w:val="22"/>
              </w:rPr>
              <w:t>报名对象，经用人单位和主管部门研究并商县人力资源和社会保障局同意后，招聘指标可调剂使用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普高物理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default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60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普高化学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03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default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60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普高英语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default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60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普高政治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default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60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</w:tbl>
    <w:p>
      <w:pPr>
        <w:ind w:firstLine="0" w:firstLineChars="0"/>
        <w:rPr>
          <w:rFonts w:hint="eastAsia"/>
          <w:color w:val="auto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sz w:val="24"/>
          <w:szCs w:val="24"/>
        </w:rPr>
        <w:t>注：C9联盟高校为北京大学、清华大学、浙江大学、复旦大学、上海交通大学、南京大学、中国科学技术大学、西安交通大学、哈尔滨工业大学。教育部直属师范大学为北京师范大学、华东师范大学、华中师范大学、东北师范大学、陕西师范大学、西南大学。</w:t>
      </w:r>
    </w:p>
    <w:p>
      <w:pPr>
        <w:ind w:firstLine="0" w:firstLineChars="0"/>
        <w:rPr>
          <w:rFonts w:hint="eastAsia"/>
          <w:color w:val="auto"/>
          <w:sz w:val="24"/>
          <w:szCs w:val="24"/>
        </w:rPr>
      </w:pP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default"/>
          <w:color w:val="auto"/>
          <w:lang w:val="en-US"/>
        </w:rPr>
        <w:t>2</w:t>
      </w:r>
    </w:p>
    <w:p>
      <w:pPr>
        <w:pStyle w:val="2"/>
        <w:spacing w:line="480" w:lineRule="auto"/>
        <w:rPr>
          <w:color w:val="auto"/>
        </w:rPr>
      </w:pPr>
      <w:r>
        <w:rPr>
          <w:rFonts w:hint="eastAsia"/>
          <w:color w:val="auto"/>
        </w:rPr>
        <w:t>2024年秋季苍南县教育系统公开选聘优秀毕业生学科岗位计划表</w:t>
      </w:r>
    </w:p>
    <w:tbl>
      <w:tblPr>
        <w:tblStyle w:val="7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84"/>
        <w:gridCol w:w="1477"/>
        <w:gridCol w:w="882"/>
        <w:gridCol w:w="2940"/>
        <w:gridCol w:w="1264"/>
        <w:gridCol w:w="1417"/>
        <w:gridCol w:w="1301"/>
        <w:gridCol w:w="2030"/>
        <w:gridCol w:w="12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763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岗位</w:t>
            </w:r>
          </w:p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类别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岗位</w:t>
            </w:r>
          </w:p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代码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学科岗位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计划数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选聘学校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年龄要求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专业及教师资格要求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高中（含职高）</w:t>
            </w:r>
          </w:p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101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高中语文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苍南县灵溪第二高级中学、苍南县职业中等专业学校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本科和硕士研究生要求199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rFonts w:hint="eastAsia"/>
                <w:color w:val="auto"/>
                <w:sz w:val="22"/>
                <w:szCs w:val="22"/>
              </w:rPr>
              <w:t>年1月1日（含）以后出生，博士学历或学位的，放宽至19</w:t>
            </w:r>
            <w:r>
              <w:rPr>
                <w:color w:val="auto"/>
                <w:sz w:val="22"/>
                <w:szCs w:val="22"/>
              </w:rPr>
              <w:t>90</w:t>
            </w:r>
            <w:r>
              <w:rPr>
                <w:rFonts w:hint="eastAsia"/>
                <w:color w:val="auto"/>
                <w:sz w:val="22"/>
                <w:szCs w:val="22"/>
              </w:rPr>
              <w:t>年1月1日（含）以后出生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本科学历及以上，学士学位及以上</w:t>
            </w:r>
          </w:p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专业对口，高中段教师资格证</w:t>
            </w: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须满足资格条件</w:t>
            </w: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2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3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4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rFonts w:hint="eastAsia"/>
                <w:color w:val="auto"/>
                <w:sz w:val="22"/>
                <w:szCs w:val="22"/>
              </w:rPr>
              <w:t>中任一条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高中数学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苍南县第三职业中等专业学校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10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高中英语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苍南县钱库高级中学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高中历史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苍南县灵溪中学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高中体育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苍南县金乡高级中学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高中计算机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高中心理健康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电子电工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苍南县职业中等专业学校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专业对口，高中段教师资格证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满足资格条件</w:t>
            </w: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至</w:t>
            </w:r>
            <w:r>
              <w:rPr>
                <w:color w:val="auto"/>
                <w:sz w:val="22"/>
                <w:szCs w:val="22"/>
              </w:rPr>
              <w:t>12</w:t>
            </w:r>
            <w:r>
              <w:rPr>
                <w:rFonts w:hint="eastAsia"/>
                <w:color w:val="auto"/>
                <w:sz w:val="22"/>
                <w:szCs w:val="22"/>
              </w:rPr>
              <w:t>条中一条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初中岗位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201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初中语文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苍南县江南实验中学、苍南县宜山实验中学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专业对口，初中及以上教师资格证</w:t>
            </w: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满足资格条件</w:t>
            </w: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至</w:t>
            </w:r>
            <w:r>
              <w:rPr>
                <w:color w:val="auto"/>
                <w:sz w:val="22"/>
                <w:szCs w:val="22"/>
              </w:rPr>
              <w:t>12</w:t>
            </w:r>
            <w:r>
              <w:rPr>
                <w:rFonts w:hint="eastAsia"/>
                <w:color w:val="auto"/>
                <w:sz w:val="22"/>
                <w:szCs w:val="22"/>
              </w:rPr>
              <w:t>条中一条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初中数学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苍南县钱库镇第一中学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初中英语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苍南县外国语学校、苍南县马站镇第一中学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初中科学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苍南县新区实验学校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205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初中社会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苍南县灵溪镇第一中学、苍南县灵溪镇第四中学、苍南县钱库镇第二中学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20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初中体育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苍南县灵溪镇第一中学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小学岗位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301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小学语文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苍南县外国语学校、苍南县第三实验小学、苍南县江滨实验小学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专业对口，小学及以上教师资格证</w:t>
            </w: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满足资格条件</w:t>
            </w: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至</w:t>
            </w:r>
            <w:r>
              <w:rPr>
                <w:color w:val="auto"/>
                <w:sz w:val="22"/>
                <w:szCs w:val="22"/>
              </w:rPr>
              <w:t>12</w:t>
            </w:r>
            <w:r>
              <w:rPr>
                <w:rFonts w:hint="eastAsia"/>
                <w:color w:val="auto"/>
                <w:sz w:val="22"/>
                <w:szCs w:val="22"/>
              </w:rPr>
              <w:t>条中一条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302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小学科学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苍南县渎浦小学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303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小学音乐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苍南县站前小学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304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小学体育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苍南县江滨实验小学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其他学校岗位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计算机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浙江开放大学苍南学院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专业对口，大学教师资格证</w:t>
            </w: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须满足资格条件</w:t>
            </w: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2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3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4</w:t>
            </w:r>
            <w:r>
              <w:rPr>
                <w:rFonts w:hint="eastAsia"/>
                <w:color w:val="auto"/>
                <w:sz w:val="22"/>
                <w:szCs w:val="22"/>
              </w:rPr>
              <w:t>、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rFonts w:hint="eastAsia"/>
                <w:color w:val="auto"/>
                <w:sz w:val="22"/>
                <w:szCs w:val="22"/>
              </w:rPr>
              <w:t>中任一条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402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政治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浙江开放大学苍南学院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403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综合实践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苍南县学生实践学校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专业对口，小学及以上教师资格证</w:t>
            </w: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须满足资格条件</w:t>
            </w:r>
            <w:r>
              <w:rPr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</w:rPr>
              <w:t>至</w:t>
            </w:r>
            <w:r>
              <w:rPr>
                <w:color w:val="auto"/>
                <w:sz w:val="22"/>
                <w:szCs w:val="22"/>
              </w:rPr>
              <w:t>12</w:t>
            </w:r>
            <w:r>
              <w:rPr>
                <w:rFonts w:hint="eastAsia"/>
                <w:color w:val="auto"/>
                <w:sz w:val="22"/>
                <w:szCs w:val="22"/>
              </w:rPr>
              <w:t>条中任一条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儿童康复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苍南县特殊教育学校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default" w:ascii="仿宋" w:hAnsi="仿宋" w:eastAsia="仿宋" w:cs="仿宋"/>
          <w:b w:val="0"/>
          <w:bCs w:val="0"/>
          <w:color w:val="auto"/>
          <w:sz w:val="31"/>
          <w:szCs w:val="31"/>
          <w:lang w:val="en-US" w:eastAsia="zh-CN"/>
        </w:rPr>
      </w:pPr>
      <w:r>
        <w:rPr>
          <w:rFonts w:hint="eastAsia" w:ascii="方正书宋简体" w:hAnsi="Times New Roman" w:eastAsia="方正书宋简体" w:cs="Times New Roman"/>
          <w:color w:val="auto"/>
          <w:kern w:val="2"/>
          <w:sz w:val="22"/>
          <w:szCs w:val="22"/>
          <w:lang w:val="en-US" w:eastAsia="zh-CN" w:bidi="ar-SA"/>
        </w:rPr>
        <w:t>注：浙江开放大学苍南学院为公益二类事业单位，经费形式为财政适当补助。其</w:t>
      </w:r>
      <w:r>
        <w:rPr>
          <w:rFonts w:hint="eastAsia" w:ascii="方正书宋简体" w:eastAsia="方正书宋简体" w:cs="Times New Roman"/>
          <w:color w:val="auto"/>
          <w:kern w:val="2"/>
          <w:sz w:val="22"/>
          <w:szCs w:val="22"/>
          <w:lang w:val="en-US" w:eastAsia="zh-CN" w:bidi="ar-SA"/>
        </w:rPr>
        <w:t>他</w:t>
      </w:r>
      <w:r>
        <w:rPr>
          <w:rFonts w:hint="eastAsia" w:ascii="方正书宋简体" w:hAnsi="Times New Roman" w:eastAsia="方正书宋简体" w:cs="Times New Roman"/>
          <w:color w:val="auto"/>
          <w:kern w:val="2"/>
          <w:sz w:val="22"/>
          <w:szCs w:val="22"/>
          <w:lang w:val="en-US" w:eastAsia="zh-CN" w:bidi="ar-SA"/>
        </w:rPr>
        <w:t>单位均为公益一类事业单位，经费形式为财政全额补助。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10" w:leftChars="100" w:right="21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GM3YWMxZTZhOWZkZmI3M2NlYWZkNzdiOThmZDIifQ=="/>
  </w:docVars>
  <w:rsids>
    <w:rsidRoot w:val="6FA87A4A"/>
    <w:rsid w:val="0E6A7AC0"/>
    <w:rsid w:val="11F30BE8"/>
    <w:rsid w:val="24565D31"/>
    <w:rsid w:val="3A2B7F26"/>
    <w:rsid w:val="3E2B19B2"/>
    <w:rsid w:val="533FE081"/>
    <w:rsid w:val="556411BE"/>
    <w:rsid w:val="55F539C6"/>
    <w:rsid w:val="6FA87A4A"/>
    <w:rsid w:val="756426FF"/>
    <w:rsid w:val="7EE548EC"/>
    <w:rsid w:val="9FF730AD"/>
    <w:rsid w:val="DDFCC4CD"/>
    <w:rsid w:val="DF6ADB09"/>
    <w:rsid w:val="E77F83AD"/>
    <w:rsid w:val="E8FDF262"/>
    <w:rsid w:val="FB3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626</Words>
  <Characters>669</Characters>
  <Lines>0</Lines>
  <Paragraphs>0</Paragraphs>
  <TotalTime>4</TotalTime>
  <ScaleCrop>false</ScaleCrop>
  <LinksUpToDate>false</LinksUpToDate>
  <CharactersWithSpaces>686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2024-11-26T16:47:00Z</dcterms:created>
  <dc:creator>林元袍</dc:creator>
  <cp:lastModifiedBy>林元袍</cp:lastModifiedBy>
  <cp:lastPrinted>2024-11-27T01:13:00Z</cp:lastPrinted>
  <dcterms:modified xsi:type="dcterms:W3CDTF">2024-11-26T10:42:48Z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88420CA4F3D3433D8D7E756B78FFE41F</vt:lpwstr>
  </property>
</Properties>
</file>