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p>
    <w:tbl>
      <w:tblPr>
        <w:tblStyle w:val="4"/>
        <w:tblW w:w="14460" w:type="dxa"/>
        <w:tblInd w:w="-15" w:type="dxa"/>
        <w:tblLayout w:type="fixed"/>
        <w:tblCellMar>
          <w:top w:w="0" w:type="dxa"/>
          <w:left w:w="108" w:type="dxa"/>
          <w:bottom w:w="0" w:type="dxa"/>
          <w:right w:w="108" w:type="dxa"/>
        </w:tblCellMar>
      </w:tblPr>
      <w:tblGrid>
        <w:gridCol w:w="1062"/>
        <w:gridCol w:w="1388"/>
        <w:gridCol w:w="737"/>
        <w:gridCol w:w="1365"/>
        <w:gridCol w:w="960"/>
        <w:gridCol w:w="780"/>
        <w:gridCol w:w="1129"/>
        <w:gridCol w:w="787"/>
        <w:gridCol w:w="5463"/>
        <w:gridCol w:w="789"/>
      </w:tblGrid>
      <w:tr>
        <w:tblPrEx>
          <w:tblCellMar>
            <w:top w:w="0" w:type="dxa"/>
            <w:left w:w="108" w:type="dxa"/>
            <w:bottom w:w="0" w:type="dxa"/>
            <w:right w:w="108" w:type="dxa"/>
          </w:tblCellMar>
        </w:tblPrEx>
        <w:trPr>
          <w:trHeight w:val="90" w:hRule="atLeast"/>
        </w:trPr>
        <w:tc>
          <w:tcPr>
            <w:tcW w:w="14460" w:type="dxa"/>
            <w:gridSpan w:val="10"/>
            <w:tcBorders>
              <w:top w:val="nil"/>
              <w:left w:val="nil"/>
              <w:bottom w:val="nil"/>
              <w:right w:val="nil"/>
            </w:tcBorders>
            <w:vAlign w:val="center"/>
          </w:tcPr>
          <w:p>
            <w:pPr>
              <w:spacing w:line="560" w:lineRule="exact"/>
              <w:jc w:val="center"/>
              <w:rPr>
                <w:rFonts w:ascii="宋体" w:hAnsi="宋体" w:cs="宋体"/>
                <w:b/>
                <w:bCs/>
                <w:color w:val="000000"/>
                <w:sz w:val="48"/>
                <w:szCs w:val="48"/>
              </w:rPr>
            </w:pPr>
            <w:r>
              <w:rPr>
                <w:rFonts w:ascii="方正小标宋简体" w:hAnsi="方正小标宋简体" w:eastAsia="方正小标宋简体" w:cs="方正小标宋简体"/>
                <w:color w:val="000000"/>
                <w:kern w:val="0"/>
                <w:sz w:val="44"/>
                <w:szCs w:val="4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8097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200" cy="180975"/>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kern w:val="0"/>
                <w:sz w:val="44"/>
                <w:szCs w:val="44"/>
              </w:rPr>
              <w:t>甘肃省</w:t>
            </w:r>
            <w:r>
              <w:rPr>
                <w:rFonts w:hint="eastAsia" w:ascii="方正小标宋简体" w:hAnsi="方正小标宋简体" w:eastAsia="方正小标宋简体" w:cs="方正小标宋简体"/>
                <w:color w:val="000000"/>
                <w:kern w:val="0"/>
                <w:sz w:val="44"/>
                <w:szCs w:val="44"/>
                <w:lang w:val="en-US" w:eastAsia="zh-CN"/>
              </w:rPr>
              <w:t>生态环境厅直属事业单位2024年</w:t>
            </w:r>
            <w:r>
              <w:rPr>
                <w:rFonts w:hint="eastAsia" w:ascii="方正小标宋简体" w:hAnsi="方正小标宋简体" w:eastAsia="方正小标宋简体" w:cs="方正小标宋简体"/>
                <w:color w:val="000000"/>
                <w:kern w:val="0"/>
                <w:sz w:val="44"/>
                <w:szCs w:val="44"/>
              </w:rPr>
              <w:t>引进高层次人才岗位列表</w:t>
            </w:r>
          </w:p>
        </w:tc>
      </w:tr>
      <w:tr>
        <w:tblPrEx>
          <w:tblCellMar>
            <w:top w:w="0" w:type="dxa"/>
            <w:left w:w="108" w:type="dxa"/>
            <w:bottom w:w="0" w:type="dxa"/>
            <w:right w:w="108" w:type="dxa"/>
          </w:tblCellMar>
        </w:tblPrEx>
        <w:trPr>
          <w:trHeight w:val="400" w:hRule="atLeast"/>
        </w:trPr>
        <w:tc>
          <w:tcPr>
            <w:tcW w:w="1062" w:type="dxa"/>
            <w:vMerge w:val="restart"/>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主管部门</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及网址</w:t>
            </w:r>
          </w:p>
        </w:tc>
        <w:tc>
          <w:tcPr>
            <w:tcW w:w="1388"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招聘单位</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及地址</w:t>
            </w:r>
          </w:p>
        </w:tc>
        <w:tc>
          <w:tcPr>
            <w:tcW w:w="737"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引进类别</w:t>
            </w:r>
          </w:p>
        </w:tc>
        <w:tc>
          <w:tcPr>
            <w:tcW w:w="1365"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岗位类别等级</w:t>
            </w:r>
          </w:p>
        </w:tc>
        <w:tc>
          <w:tcPr>
            <w:tcW w:w="960"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具体岗位名称</w:t>
            </w:r>
          </w:p>
        </w:tc>
        <w:tc>
          <w:tcPr>
            <w:tcW w:w="780"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招聘</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人数</w:t>
            </w:r>
          </w:p>
        </w:tc>
        <w:tc>
          <w:tcPr>
            <w:tcW w:w="7379" w:type="dxa"/>
            <w:gridSpan w:val="3"/>
            <w:tcBorders>
              <w:top w:val="single" w:color="000000" w:sz="8"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招聘条件</w:t>
            </w:r>
          </w:p>
        </w:tc>
        <w:tc>
          <w:tcPr>
            <w:tcW w:w="789" w:type="dxa"/>
            <w:vMerge w:val="restart"/>
            <w:tcBorders>
              <w:top w:val="single" w:color="000000" w:sz="8" w:space="0"/>
              <w:left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备注</w:t>
            </w:r>
          </w:p>
        </w:tc>
      </w:tr>
      <w:tr>
        <w:tblPrEx>
          <w:tblCellMar>
            <w:top w:w="0" w:type="dxa"/>
            <w:left w:w="108" w:type="dxa"/>
            <w:bottom w:w="0" w:type="dxa"/>
            <w:right w:w="108" w:type="dxa"/>
          </w:tblCellMar>
        </w:tblPrEx>
        <w:trPr>
          <w:trHeight w:val="410" w:hRule="atLeast"/>
        </w:trPr>
        <w:tc>
          <w:tcPr>
            <w:tcW w:w="1062" w:type="dxa"/>
            <w:vMerge w:val="continue"/>
            <w:tcBorders>
              <w:top w:val="single" w:color="000000" w:sz="8" w:space="0"/>
              <w:left w:val="single" w:color="000000" w:sz="8" w:space="0"/>
              <w:bottom w:val="single" w:color="auto" w:sz="4" w:space="0"/>
              <w:right w:val="single" w:color="000000" w:sz="4" w:space="0"/>
            </w:tcBorders>
            <w:vAlign w:val="center"/>
          </w:tcPr>
          <w:p>
            <w:pPr>
              <w:jc w:val="center"/>
              <w:rPr>
                <w:rFonts w:ascii="宋体" w:hAnsi="宋体" w:cs="宋体"/>
                <w:b/>
                <w:bCs/>
                <w:color w:val="000000"/>
                <w:sz w:val="22"/>
              </w:rPr>
            </w:pPr>
          </w:p>
        </w:tc>
        <w:tc>
          <w:tcPr>
            <w:tcW w:w="1388" w:type="dxa"/>
            <w:vMerge w:val="continue"/>
            <w:tcBorders>
              <w:top w:val="single" w:color="000000" w:sz="8" w:space="0"/>
              <w:left w:val="single" w:color="000000" w:sz="4" w:space="0"/>
              <w:bottom w:val="single" w:color="auto" w:sz="4" w:space="0"/>
              <w:right w:val="single" w:color="000000" w:sz="4" w:space="0"/>
            </w:tcBorders>
            <w:vAlign w:val="center"/>
          </w:tcPr>
          <w:p>
            <w:pPr>
              <w:jc w:val="center"/>
              <w:rPr>
                <w:rFonts w:ascii="宋体" w:hAnsi="宋体" w:cs="宋体"/>
                <w:b/>
                <w:bCs/>
                <w:color w:val="000000"/>
                <w:sz w:val="22"/>
              </w:rPr>
            </w:pPr>
          </w:p>
        </w:tc>
        <w:tc>
          <w:tcPr>
            <w:tcW w:w="737" w:type="dxa"/>
            <w:vMerge w:val="continue"/>
            <w:tcBorders>
              <w:top w:val="single" w:color="000000" w:sz="8" w:space="0"/>
              <w:left w:val="single" w:color="000000" w:sz="4" w:space="0"/>
              <w:bottom w:val="single" w:color="auto" w:sz="4" w:space="0"/>
              <w:right w:val="single" w:color="000000" w:sz="4" w:space="0"/>
            </w:tcBorders>
            <w:vAlign w:val="center"/>
          </w:tcPr>
          <w:p>
            <w:pPr>
              <w:jc w:val="center"/>
              <w:rPr>
                <w:rFonts w:ascii="宋体" w:hAnsi="宋体" w:cs="宋体"/>
                <w:b/>
                <w:bCs/>
                <w:color w:val="000000"/>
                <w:sz w:val="22"/>
              </w:rPr>
            </w:pPr>
          </w:p>
        </w:tc>
        <w:tc>
          <w:tcPr>
            <w:tcW w:w="1365" w:type="dxa"/>
            <w:vMerge w:val="continue"/>
            <w:tcBorders>
              <w:top w:val="single" w:color="000000" w:sz="8" w:space="0"/>
              <w:left w:val="single" w:color="000000" w:sz="4" w:space="0"/>
              <w:bottom w:val="single" w:color="auto" w:sz="4" w:space="0"/>
              <w:right w:val="single" w:color="000000" w:sz="4" w:space="0"/>
            </w:tcBorders>
            <w:vAlign w:val="center"/>
          </w:tcPr>
          <w:p>
            <w:pPr>
              <w:jc w:val="center"/>
              <w:rPr>
                <w:rFonts w:ascii="宋体" w:hAnsi="宋体" w:cs="宋体"/>
                <w:b/>
                <w:bCs/>
                <w:color w:val="000000"/>
                <w:sz w:val="22"/>
              </w:rPr>
            </w:pPr>
          </w:p>
        </w:tc>
        <w:tc>
          <w:tcPr>
            <w:tcW w:w="960" w:type="dxa"/>
            <w:vMerge w:val="continue"/>
            <w:tcBorders>
              <w:top w:val="single" w:color="000000" w:sz="8" w:space="0"/>
              <w:left w:val="single" w:color="000000" w:sz="4" w:space="0"/>
              <w:bottom w:val="single" w:color="auto" w:sz="4" w:space="0"/>
              <w:right w:val="single" w:color="000000" w:sz="4" w:space="0"/>
            </w:tcBorders>
            <w:vAlign w:val="center"/>
          </w:tcPr>
          <w:p>
            <w:pPr>
              <w:jc w:val="center"/>
              <w:rPr>
                <w:rFonts w:ascii="宋体" w:hAnsi="宋体" w:cs="宋体"/>
                <w:b/>
                <w:bCs/>
                <w:color w:val="000000"/>
                <w:sz w:val="22"/>
              </w:rPr>
            </w:pPr>
          </w:p>
        </w:tc>
        <w:tc>
          <w:tcPr>
            <w:tcW w:w="780" w:type="dxa"/>
            <w:vMerge w:val="continue"/>
            <w:tcBorders>
              <w:top w:val="single" w:color="000000" w:sz="8" w:space="0"/>
              <w:left w:val="single" w:color="000000" w:sz="4" w:space="0"/>
              <w:bottom w:val="single" w:color="auto" w:sz="4" w:space="0"/>
              <w:right w:val="single" w:color="000000" w:sz="4" w:space="0"/>
            </w:tcBorders>
            <w:vAlign w:val="center"/>
          </w:tcPr>
          <w:p>
            <w:pPr>
              <w:jc w:val="center"/>
              <w:rPr>
                <w:rFonts w:ascii="宋体" w:hAnsi="宋体" w:cs="宋体"/>
                <w:b/>
                <w:bCs/>
                <w:color w:val="000000"/>
                <w:sz w:val="22"/>
              </w:rPr>
            </w:pPr>
          </w:p>
        </w:tc>
        <w:tc>
          <w:tcPr>
            <w:tcW w:w="112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专业</w:t>
            </w:r>
          </w:p>
        </w:tc>
        <w:tc>
          <w:tcPr>
            <w:tcW w:w="78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学历</w:t>
            </w:r>
          </w:p>
        </w:tc>
        <w:tc>
          <w:tcPr>
            <w:tcW w:w="546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eastAsia="宋体" w:cs="宋体"/>
                <w:b/>
                <w:bCs/>
                <w:color w:val="000000"/>
                <w:kern w:val="0"/>
                <w:sz w:val="22"/>
              </w:rPr>
              <w:t>其他条件</w:t>
            </w:r>
          </w:p>
        </w:tc>
        <w:tc>
          <w:tcPr>
            <w:tcW w:w="789"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eastAsiaTheme="minorEastAsia"/>
                <w:b/>
                <w:bCs/>
                <w:color w:val="000000"/>
                <w:sz w:val="22"/>
                <w:lang w:eastAsia="zh-CN"/>
              </w:rPr>
            </w:pPr>
          </w:p>
        </w:tc>
      </w:tr>
      <w:tr>
        <w:tblPrEx>
          <w:tblCellMar>
            <w:top w:w="0" w:type="dxa"/>
            <w:left w:w="108" w:type="dxa"/>
            <w:bottom w:w="0" w:type="dxa"/>
            <w:right w:w="108" w:type="dxa"/>
          </w:tblCellMar>
        </w:tblPrEx>
        <w:trPr>
          <w:trHeight w:val="2420" w:hRule="atLeast"/>
        </w:trPr>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甘肃省生态环境厅  http://sthj.gansu.gov.cn/</w:t>
            </w: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 xml:space="preserve">甘肃省生态环境科学设计研究院  </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单位地址：甘肃省兰州市雁儿湾路225号甘肃环境科技大厦</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A01</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rPr>
              <w:t>专技10级</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生态环境治理与修复工程师</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lang w:val="en-US" w:eastAsia="zh-CN"/>
              </w:rPr>
            </w:pPr>
            <w:r>
              <w:rPr>
                <w:rFonts w:hint="eastAsia" w:ascii="方正仿宋" w:hAnsi="方正仿宋" w:eastAsia="方正仿宋" w:cs="方正仿宋"/>
                <w:color w:val="000000"/>
                <w:kern w:val="0"/>
                <w:sz w:val="20"/>
                <w:szCs w:val="20"/>
                <w:lang w:val="en-US" w:eastAsia="zh-CN"/>
              </w:rPr>
              <w:t>1</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水土保持与荒漠化防治学、生态学</w:t>
            </w: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rPr>
              <w:t>博士</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lang w:val="en-US" w:eastAsia="zh-CN"/>
              </w:rPr>
              <w:t>研究生</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rPr>
              <w:t>1、招聘人员年龄要在35周岁以下；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lang w:val="en-US" w:eastAsia="zh-CN"/>
              </w:rPr>
              <w:t>2</w:t>
            </w:r>
            <w:r>
              <w:rPr>
                <w:rFonts w:hint="eastAsia" w:ascii="方正仿宋" w:hAnsi="方正仿宋" w:eastAsia="方正仿宋" w:cs="方正仿宋"/>
                <w:color w:val="000000"/>
                <w:sz w:val="20"/>
                <w:szCs w:val="20"/>
              </w:rPr>
              <w:t>、具有在生态环境保护与修复领域国内外知名团队研究经历研究者优先；</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lang w:val="en-US" w:eastAsia="zh-CN"/>
              </w:rPr>
              <w:t>3</w:t>
            </w:r>
            <w:r>
              <w:rPr>
                <w:rFonts w:hint="eastAsia" w:ascii="方正仿宋" w:hAnsi="方正仿宋" w:eastAsia="方正仿宋" w:cs="方正仿宋"/>
                <w:color w:val="000000"/>
                <w:sz w:val="20"/>
                <w:szCs w:val="20"/>
              </w:rPr>
              <w:t>、参与过国家级生态环境保护与修复的相关课题；</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4</w:t>
            </w:r>
            <w:r>
              <w:rPr>
                <w:rFonts w:hint="eastAsia" w:ascii="方正仿宋" w:hAnsi="方正仿宋" w:eastAsia="方正仿宋" w:cs="方正仿宋"/>
                <w:color w:val="000000"/>
                <w:sz w:val="20"/>
                <w:szCs w:val="20"/>
              </w:rPr>
              <w:t>、以第一作者或通讯作者在高水平SCI、EI等期刊发表过水土保持与荒漠化防治、生态学相关专业论文2篇及以上，其中SCI期刊论文1篇及以上。</w:t>
            </w:r>
          </w:p>
        </w:tc>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bookmarkStart w:id="0" w:name="OLE_LINK1"/>
            <w:r>
              <w:rPr>
                <w:rFonts w:hint="eastAsia" w:ascii="方正仿宋" w:hAnsi="方正仿宋" w:eastAsia="方正仿宋" w:cs="方正仿宋"/>
                <w:color w:val="000000"/>
                <w:kern w:val="0"/>
                <w:sz w:val="20"/>
                <w:szCs w:val="20"/>
                <w:lang w:val="en-US" w:eastAsia="zh-CN"/>
              </w:rPr>
              <w:t>全额拨款</w:t>
            </w:r>
            <w:bookmarkEnd w:id="0"/>
          </w:p>
        </w:tc>
      </w:tr>
      <w:tr>
        <w:tblPrEx>
          <w:tblCellMar>
            <w:top w:w="0" w:type="dxa"/>
            <w:left w:w="108" w:type="dxa"/>
            <w:bottom w:w="0" w:type="dxa"/>
            <w:right w:w="108" w:type="dxa"/>
          </w:tblCellMar>
        </w:tblPrEx>
        <w:trPr>
          <w:trHeight w:val="2793" w:hRule="atLeast"/>
        </w:trPr>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甘肃省生态环境厅  http://sthj.gansu.gov.cn/</w:t>
            </w: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 xml:space="preserve">甘肃省生态环境科学设计研究院  </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单位地址：甘肃省兰州市雁儿湾路225号甘肃环境科技大厦</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lang w:eastAsia="zh-CN"/>
              </w:rPr>
            </w:pPr>
            <w:r>
              <w:rPr>
                <w:rFonts w:hint="eastAsia" w:ascii="方正仿宋" w:hAnsi="方正仿宋" w:eastAsia="方正仿宋" w:cs="方正仿宋"/>
                <w:color w:val="000000"/>
                <w:kern w:val="0"/>
                <w:sz w:val="20"/>
                <w:szCs w:val="20"/>
              </w:rPr>
              <w:t>A0</w:t>
            </w:r>
            <w:r>
              <w:rPr>
                <w:rFonts w:hint="eastAsia" w:ascii="方正仿宋" w:hAnsi="方正仿宋" w:eastAsia="方正仿宋" w:cs="方正仿宋"/>
                <w:color w:val="000000"/>
                <w:kern w:val="0"/>
                <w:sz w:val="20"/>
                <w:szCs w:val="20"/>
                <w:lang w:val="en-US" w:eastAsia="zh-CN"/>
              </w:rPr>
              <w:t>1</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rPr>
              <w:t>专技10级</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固体废物污染防治研究工程师</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lang w:val="en-US" w:eastAsia="zh-CN"/>
              </w:rPr>
            </w:pPr>
            <w:r>
              <w:rPr>
                <w:rFonts w:hint="eastAsia" w:ascii="方正仿宋" w:hAnsi="方正仿宋" w:eastAsia="方正仿宋" w:cs="方正仿宋"/>
                <w:color w:val="000000"/>
                <w:kern w:val="0"/>
                <w:sz w:val="20"/>
                <w:szCs w:val="20"/>
                <w:lang w:val="en-US" w:eastAsia="zh-CN"/>
              </w:rPr>
              <w:t>1</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rPr>
            </w:pPr>
            <w:r>
              <w:rPr>
                <w:rFonts w:hint="eastAsia" w:ascii="方正仿宋" w:hAnsi="方正仿宋" w:eastAsia="方正仿宋" w:cs="方正仿宋"/>
                <w:color w:val="000000"/>
                <w:kern w:val="0"/>
                <w:sz w:val="20"/>
                <w:szCs w:val="20"/>
              </w:rPr>
              <w:t>环境科学与工程、化学</w:t>
            </w: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rPr>
            </w:pPr>
            <w:r>
              <w:rPr>
                <w:rFonts w:hint="eastAsia" w:ascii="方正仿宋" w:hAnsi="方正仿宋" w:eastAsia="方正仿宋" w:cs="方正仿宋"/>
                <w:color w:val="000000"/>
                <w:sz w:val="20"/>
                <w:szCs w:val="20"/>
              </w:rPr>
              <w:t>博士</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研究生</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1、招聘人员年龄要在35周岁以下；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2、具有在固体废物污染防治领域国内外知名团队研究经历者优先；</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3、参与过国家级固体废物污染防治的相关课题；</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仿宋" w:hAnsi="方正仿宋" w:eastAsia="方正仿宋" w:cs="方正仿宋"/>
                <w:color w:val="000000"/>
                <w:sz w:val="20"/>
                <w:szCs w:val="20"/>
                <w:lang w:val="en-US" w:eastAsia="zh-CN"/>
              </w:rPr>
            </w:pPr>
            <w:r>
              <w:rPr>
                <w:rFonts w:hint="eastAsia" w:ascii="方正仿宋" w:hAnsi="方正仿宋" w:eastAsia="方正仿宋" w:cs="方正仿宋"/>
                <w:color w:val="000000"/>
                <w:sz w:val="20"/>
                <w:szCs w:val="20"/>
                <w:lang w:val="en-US" w:eastAsia="zh-CN"/>
              </w:rPr>
              <w:t>4、以第一作者或通讯作者在高水平SCI、EI等期刊发表过环境科学与工程、化学等相关专业论文2篇及以上，其中SCI期刊论文1篇及以上</w:t>
            </w:r>
            <w:bookmarkStart w:id="1" w:name="_GoBack"/>
            <w:bookmarkEnd w:id="1"/>
            <w:r>
              <w:rPr>
                <w:rFonts w:hint="eastAsia" w:ascii="方正仿宋" w:hAnsi="方正仿宋" w:eastAsia="方正仿宋" w:cs="方正仿宋"/>
                <w:color w:val="000000"/>
                <w:sz w:val="20"/>
                <w:szCs w:val="20"/>
                <w:lang w:val="en-US" w:eastAsia="zh-CN"/>
              </w:rPr>
              <w:t>。</w:t>
            </w:r>
          </w:p>
        </w:tc>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 w:hAnsi="方正仿宋" w:eastAsia="方正仿宋" w:cs="方正仿宋"/>
                <w:color w:val="000000"/>
                <w:kern w:val="0"/>
                <w:sz w:val="20"/>
                <w:szCs w:val="20"/>
                <w:lang w:val="en-US" w:eastAsia="zh-CN"/>
              </w:rPr>
            </w:pPr>
            <w:r>
              <w:rPr>
                <w:rFonts w:hint="eastAsia" w:ascii="方正仿宋" w:hAnsi="方正仿宋" w:eastAsia="方正仿宋" w:cs="方正仿宋"/>
                <w:color w:val="000000"/>
                <w:kern w:val="0"/>
                <w:sz w:val="20"/>
                <w:szCs w:val="20"/>
                <w:lang w:val="en-US" w:eastAsia="zh-CN"/>
              </w:rPr>
              <w:t>全额拨款</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
    <w:panose1 w:val="03000509000000000000"/>
    <w:charset w:val="86"/>
    <w:family w:val="auto"/>
    <w:pitch w:val="default"/>
    <w:sig w:usb0="00000001" w:usb1="080E0000" w:usb2="00000000" w:usb3="00000000" w:csb0="00040000" w:csb1="00000000"/>
  </w:font>
  <w:font w:name="等线 Light">
    <w:altName w:val="书体坊王学勤钢笔行书"/>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140BE"/>
    <w:multiLevelType w:val="multilevel"/>
    <w:tmpl w:val="6EB140BE"/>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EF"/>
    <w:rsid w:val="002642FA"/>
    <w:rsid w:val="002D3A78"/>
    <w:rsid w:val="005D145B"/>
    <w:rsid w:val="00CC49EF"/>
    <w:rsid w:val="00F04F36"/>
    <w:rsid w:val="115D71F3"/>
    <w:rsid w:val="11C43550"/>
    <w:rsid w:val="12F21BA5"/>
    <w:rsid w:val="13C90583"/>
    <w:rsid w:val="159424C7"/>
    <w:rsid w:val="17E1613A"/>
    <w:rsid w:val="20510314"/>
    <w:rsid w:val="250C00A6"/>
    <w:rsid w:val="2B9144CC"/>
    <w:rsid w:val="2D933CE5"/>
    <w:rsid w:val="2E810DE7"/>
    <w:rsid w:val="34B72AB7"/>
    <w:rsid w:val="3B22372C"/>
    <w:rsid w:val="4E8F36DE"/>
    <w:rsid w:val="574868BE"/>
    <w:rsid w:val="5A553DE4"/>
    <w:rsid w:val="5E2F0341"/>
    <w:rsid w:val="5EE20F73"/>
    <w:rsid w:val="641C752E"/>
    <w:rsid w:val="64FF5503"/>
    <w:rsid w:val="66044ACE"/>
    <w:rsid w:val="670D6C1F"/>
    <w:rsid w:val="688F051A"/>
    <w:rsid w:val="71AD28B5"/>
    <w:rsid w:val="78880AA3"/>
    <w:rsid w:val="7B9207C8"/>
    <w:rsid w:val="7BC60F1B"/>
    <w:rsid w:val="7DB46174"/>
    <w:rsid w:val="7E123BED"/>
    <w:rsid w:val="BFFB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line="578" w:lineRule="auto"/>
      <w:outlineLvl w:val="0"/>
    </w:pPr>
    <w:rPr>
      <w:rFonts w:eastAsia="宋体"/>
      <w:b/>
      <w:bCs/>
      <w:kern w:val="44"/>
      <w:sz w:val="28"/>
      <w:szCs w:val="44"/>
    </w:rPr>
  </w:style>
  <w:style w:type="paragraph" w:styleId="3">
    <w:name w:val="heading 2"/>
    <w:basedOn w:val="1"/>
    <w:next w:val="1"/>
    <w:link w:val="9"/>
    <w:unhideWhenUsed/>
    <w:qFormat/>
    <w:uiPriority w:val="9"/>
    <w:pPr>
      <w:keepNext/>
      <w:keepLines/>
      <w:numPr>
        <w:ilvl w:val="0"/>
        <w:numId w:val="1"/>
      </w:numPr>
      <w:spacing w:line="415" w:lineRule="auto"/>
      <w:ind w:left="420" w:hanging="420"/>
      <w:outlineLvl w:val="1"/>
    </w:pPr>
    <w:rPr>
      <w:rFonts w:asciiTheme="majorHAnsi" w:hAnsiTheme="majorHAnsi" w:eastAsiaTheme="majorEastAsia" w:cstheme="majorBidi"/>
      <w:b/>
      <w:bCs/>
      <w:sz w:val="30"/>
      <w:szCs w:val="32"/>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customStyle="1" w:styleId="6">
    <w:name w:val="第一章"/>
    <w:basedOn w:val="2"/>
    <w:link w:val="7"/>
    <w:qFormat/>
    <w:uiPriority w:val="0"/>
  </w:style>
  <w:style w:type="character" w:customStyle="1" w:styleId="7">
    <w:name w:val="第一章 字符"/>
    <w:basedOn w:val="8"/>
    <w:link w:val="6"/>
    <w:qFormat/>
    <w:uiPriority w:val="0"/>
    <w:rPr>
      <w:rFonts w:eastAsia="宋体"/>
      <w:kern w:val="44"/>
      <w:sz w:val="44"/>
      <w:szCs w:val="44"/>
    </w:rPr>
  </w:style>
  <w:style w:type="character" w:customStyle="1" w:styleId="8">
    <w:name w:val="标题 1 字符"/>
    <w:basedOn w:val="5"/>
    <w:link w:val="2"/>
    <w:qFormat/>
    <w:uiPriority w:val="9"/>
    <w:rPr>
      <w:rFonts w:eastAsia="宋体"/>
      <w:b/>
      <w:bCs/>
      <w:kern w:val="44"/>
      <w:sz w:val="28"/>
      <w:szCs w:val="44"/>
    </w:rPr>
  </w:style>
  <w:style w:type="character" w:customStyle="1" w:styleId="9">
    <w:name w:val="标题 2 字符"/>
    <w:basedOn w:val="5"/>
    <w:link w:val="3"/>
    <w:qFormat/>
    <w:uiPriority w:val="9"/>
    <w:rPr>
      <w:rFonts w:asciiTheme="majorHAnsi" w:hAnsiTheme="majorHAnsi" w:eastAsiaTheme="majorEastAsia" w:cstheme="majorBidi"/>
      <w:b/>
      <w:bCs/>
      <w:sz w:val="3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256</Words>
  <Characters>267</Characters>
  <Lines>14</Lines>
  <Paragraphs>10</Paragraphs>
  <TotalTime>9</TotalTime>
  <ScaleCrop>false</ScaleCrop>
  <LinksUpToDate>false</LinksUpToDate>
  <CharactersWithSpaces>513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2023-05-09T10:02:00Z</dcterms:created>
  <dc:creator>李志强</dc:creator>
  <cp:lastModifiedBy>inspur</cp:lastModifiedBy>
  <cp:lastPrinted>2024-10-22T14:04:00Z</cp:lastPrinted>
  <dcterms:modified xsi:type="dcterms:W3CDTF">2024-12-12T10:20:18Z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C6EBC2E9531E6D2E62485A67247E459C</vt:lpwstr>
  </property>
</Properties>
</file>