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F3AE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附件1</w:t>
      </w:r>
      <w:bookmarkStart w:id="3" w:name="_GoBack"/>
      <w:bookmarkEnd w:id="3"/>
    </w:p>
    <w:p w14:paraId="05007427">
      <w:pPr>
        <w:spacing w:line="60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年新宁县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农业综合服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务中心公开选聘事业单位工作人员计划和岗位要求一览表</w:t>
      </w:r>
    </w:p>
    <w:tbl>
      <w:tblPr>
        <w:tblStyle w:val="2"/>
        <w:tblW w:w="1563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63"/>
        <w:gridCol w:w="1221"/>
        <w:gridCol w:w="709"/>
        <w:gridCol w:w="1984"/>
        <w:gridCol w:w="709"/>
        <w:gridCol w:w="1134"/>
        <w:gridCol w:w="1701"/>
        <w:gridCol w:w="709"/>
        <w:gridCol w:w="2359"/>
        <w:gridCol w:w="1326"/>
        <w:gridCol w:w="1871"/>
      </w:tblGrid>
      <w:tr w14:paraId="7D1FA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75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编码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4C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主管单位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FF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选聘单位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75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选聘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人数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E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选聘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范围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B6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性别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要求</w:t>
            </w:r>
          </w:p>
        </w:tc>
        <w:tc>
          <w:tcPr>
            <w:tcW w:w="72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17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岗位资格条件</w:t>
            </w: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EF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报名地点及咨询电话</w:t>
            </w:r>
          </w:p>
        </w:tc>
      </w:tr>
      <w:tr w14:paraId="5D933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27EB"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7F36"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EBF8"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97A8"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0C40"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62F9"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B3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选聘岗位及代码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C8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9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学历要求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B8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年龄要求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A8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服务期限要求</w:t>
            </w: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DD1B"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2F19F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49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E4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新宁县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农业农村局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D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新宁县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农业综合服务中心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69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2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新宁县在编在岗的全额拨款事业单位全额拨款人员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95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男女不限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A7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岗 A1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18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专业不限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76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大专及以上学历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15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1日后</w:t>
            </w:r>
          </w:p>
          <w:p w14:paraId="650BF1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出生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05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最低服务期限为5年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EC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新宁县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农业农村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3楼政工股</w:t>
            </w:r>
          </w:p>
          <w:p w14:paraId="35FF3B10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电话：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0739-</w:t>
            </w:r>
            <w:bookmarkStart w:id="2" w:name="OLE_LINK3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2230929</w:t>
            </w:r>
            <w:bookmarkEnd w:id="0"/>
            <w:bookmarkEnd w:id="1"/>
            <w:bookmarkEnd w:id="2"/>
          </w:p>
        </w:tc>
      </w:tr>
      <w:tr w14:paraId="20050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FF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FF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新宁县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农业农村局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C1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新宁县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农业综合服务中心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A6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D2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新宁县在编在岗的全额拨款事业单位全额拨款人员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5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男女不限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96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专技岗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A2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3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专业不限但需具备农艺师及以上职称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53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及以上学历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B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1日后</w:t>
            </w:r>
          </w:p>
          <w:p w14:paraId="04F662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出生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A4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最低服务期限为5年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254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新宁县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农业农村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3楼政工股</w:t>
            </w:r>
          </w:p>
          <w:p w14:paraId="4EB1D8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电话：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0739-2230929</w:t>
            </w:r>
          </w:p>
        </w:tc>
      </w:tr>
      <w:tr w14:paraId="5D6EA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26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AD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新宁县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农业农村局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43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新宁县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农业综合服务中心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14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6D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新宁县在编在岗的全额拨款事业单位全额拨款人员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7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男女不限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C7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专技岗 A3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E8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专业不限但需具备专业技术中级及以上职称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58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及以上学历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24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1日</w:t>
            </w:r>
          </w:p>
          <w:p w14:paraId="699D6C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后出生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E8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最低服务期限为5年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0B0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新宁县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农业农村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3楼政工股</w:t>
            </w:r>
          </w:p>
          <w:p w14:paraId="658DD6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电话：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0739-2230929</w:t>
            </w:r>
          </w:p>
        </w:tc>
      </w:tr>
    </w:tbl>
    <w:p w14:paraId="4DC050A7"/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2025-01-02T01:16:10Z</dcterms:created>
  <dc:creator>Administrator</dc:creator>
  <cp:lastModifiedBy>是她说</cp:lastModifiedBy>
  <dcterms:modified xsi:type="dcterms:W3CDTF">2025-01-02T01:17:06Z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eyJoZGlkIjoiYzBkOTUxMzJmOGExNzMyY2Q2OWNjNjU2NWM2YzZmZWEiLCJ1c2VySWQiOiIxMDIzNDY0NTAwIn0=</vt:lpwstr>
  </property>
  <property fmtid="{D5CDD505-2E9C-101B-9397-08002B2CF9AE}" pid="4" name="ICV">
    <vt:lpwstr>5386CC611D614CEAB553F974CEE374B4_12</vt:lpwstr>
  </property>
</Properties>
</file>