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textAlignment w:val="auto"/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Verdana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体能测评项目及标准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  <w:t>（男子组）</w:t>
      </w:r>
    </w:p>
    <w:tbl>
      <w:tblPr>
        <w:tblStyle w:val="5"/>
        <w:tblW w:w="884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2921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tblCellSpacing w:w="0" w:type="dxa"/>
        </w:trPr>
        <w:tc>
          <w:tcPr>
            <w:tcW w:w="2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CellSpacing w:w="0" w:type="dxa"/>
        </w:trPr>
        <w:tc>
          <w:tcPr>
            <w:tcW w:w="2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left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备注：10米×4往返跑测评次数</w:t>
      </w:r>
      <w:r>
        <w:rPr>
          <w:rFonts w:hint="eastAsia" w:ascii="方正仿宋_GBK" w:eastAsia="方正仿宋_GBK"/>
          <w:sz w:val="32"/>
          <w:szCs w:val="32"/>
          <w:lang w:eastAsia="zh-CN"/>
        </w:rPr>
        <w:t>不超过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次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1000米跑测评次数为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次，纵跳摸高的测评次数不超过3次。</w:t>
      </w:r>
    </w:p>
    <w:p>
      <w:pPr>
        <w:pStyle w:val="3"/>
        <w:rPr>
          <w:rFonts w:hint="default" w:ascii="方正仿宋_GBK" w:eastAsia="方正仿宋_GBK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428D"/>
    <w:rsid w:val="0BE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2024-12-31T09:28:00Z</dcterms:created>
  <dc:creator>Administrator</dc:creator>
  <cp:lastModifiedBy>Administrator</cp:lastModifiedBy>
  <dcterms:modified xsi:type="dcterms:W3CDTF">2024-12-31T09:29:11Z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