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22" w:rsidRDefault="000B1322" w:rsidP="000B1322">
      <w:pPr>
        <w:widowControl/>
        <w:shd w:val="clear" w:color="auto" w:fill="FFFFFF"/>
        <w:snapToGrid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</w:t>
      </w:r>
    </w:p>
    <w:tbl>
      <w:tblPr>
        <w:tblW w:w="10562" w:type="dxa"/>
        <w:jc w:val="center"/>
        <w:tblLayout w:type="fixed"/>
        <w:tblLook w:val="0000" w:firstRow="0" w:lastRow="0" w:firstColumn="0" w:lastColumn="0" w:noHBand="0" w:noVBand="0"/>
      </w:tblPr>
      <w:tblGrid>
        <w:gridCol w:w="2117"/>
        <w:gridCol w:w="938"/>
        <w:gridCol w:w="938"/>
        <w:gridCol w:w="939"/>
        <w:gridCol w:w="938"/>
        <w:gridCol w:w="938"/>
        <w:gridCol w:w="939"/>
        <w:gridCol w:w="938"/>
        <w:gridCol w:w="938"/>
        <w:gridCol w:w="939"/>
      </w:tblGrid>
      <w:tr w:rsidR="000B1322" w:rsidRPr="000B1322" w:rsidTr="000B1322">
        <w:trPr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adjustRightInd w:val="0"/>
              <w:snapToGrid w:val="0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0B1322">
              <w:rPr>
                <w:rFonts w:ascii="黑体" w:eastAsia="黑体" w:hAnsi="黑体" w:cs="黑体" w:hint="eastAsia"/>
                <w:sz w:val="28"/>
                <w:szCs w:val="28"/>
              </w:rPr>
              <w:t>岗位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sz w:val="28"/>
                <w:szCs w:val="28"/>
              </w:rPr>
              <w:t>语文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sz w:val="28"/>
                <w:szCs w:val="28"/>
              </w:rPr>
              <w:t>数学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sz w:val="28"/>
                <w:szCs w:val="28"/>
              </w:rPr>
              <w:t>英语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sz w:val="28"/>
                <w:szCs w:val="28"/>
              </w:rPr>
              <w:t>政治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sz w:val="28"/>
                <w:szCs w:val="28"/>
              </w:rPr>
              <w:t>历史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sz w:val="28"/>
                <w:szCs w:val="28"/>
              </w:rPr>
              <w:t>地理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sz w:val="28"/>
                <w:szCs w:val="28"/>
              </w:rPr>
              <w:t>物理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0B1322">
              <w:rPr>
                <w:rFonts w:ascii="黑体" w:eastAsia="黑体" w:hAnsi="黑体" w:cs="宋体" w:hint="eastAsia"/>
                <w:sz w:val="28"/>
                <w:szCs w:val="28"/>
              </w:rPr>
              <w:t>化学</w:t>
            </w:r>
          </w:p>
        </w:tc>
      </w:tr>
      <w:tr w:rsidR="000B1322" w:rsidRPr="000B1322" w:rsidTr="000B1322">
        <w:trPr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 xml:space="preserve">东阳中学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0B1322" w:rsidRPr="000B1322" w:rsidTr="000B1322">
        <w:trPr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其他普通中学（东阳市外国语学校、东阳第二高级中学、巍山高级中学、南马高级中学、东阳技校）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29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0B1322" w:rsidRPr="000B1322" w:rsidTr="000B1322">
        <w:trPr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35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</w:tr>
      <w:tr w:rsidR="000B1322" w:rsidRPr="000B1322" w:rsidTr="000B1322">
        <w:trPr>
          <w:jc w:val="center"/>
        </w:trPr>
        <w:tc>
          <w:tcPr>
            <w:tcW w:w="10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322" w:rsidRPr="000B1322" w:rsidRDefault="000B1322" w:rsidP="000B1322">
            <w:pPr>
              <w:widowControl/>
              <w:tabs>
                <w:tab w:val="left" w:pos="7715"/>
              </w:tabs>
              <w:adjustRightInd w:val="0"/>
              <w:snapToGrid w:val="0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B1322">
              <w:rPr>
                <w:rFonts w:ascii="宋体" w:eastAsia="宋体" w:hAnsi="宋体" w:cs="宋体" w:hint="eastAsia"/>
                <w:szCs w:val="21"/>
              </w:rPr>
              <w:t>报考条件：（1）普通高校全日制硕士研究生及以上学历毕业生（须有重点大学全日制本科学历学位），其中国（境）外大学毕业的，毕业高校须为QS排名前100名（学校排名可在公开资料查询）（毕业于2023年至2025年期间）；（2）教育部六所直属师范大学、国家“双一流”高校全日制本科毕业生（毕业于2023年至2025年期间）；（3）省属重点师范大学2025届师范类全日制本科毕业生。</w:t>
            </w:r>
          </w:p>
        </w:tc>
      </w:tr>
    </w:tbl>
    <w:p w:rsidR="005B5EDC" w:rsidRDefault="005B5EDC">
      <w:bookmarkStart w:id="0" w:name="_GoBack"/>
      <w:bookmarkEnd w:id="0"/>
    </w:p>
    <w:sectPr w:rsidR="005B5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22"/>
    <w:rsid w:val="000B1322"/>
    <w:rsid w:val="005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9E5BD-6EE9-4781-AF58-33F57349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2025-03-26T08:10:00Z</dcterms:created>
  <dcterms:modified xsi:type="dcterms:W3CDTF">2025-03-26T08:13:00Z</dcterms:modified>
</cp:coreProperties>
</file>