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t>2025年满洲里市发展和改革委员会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t>所属事业单位人才引进公告</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highlight w:val="none"/>
          <w:lang w:eastAsia="zh-CN"/>
        </w:rPr>
        <w:t>满洲里市事业单位人才引进</w:t>
      </w:r>
      <w:r>
        <w:rPr>
          <w:rFonts w:hint="eastAsia" w:ascii="仿宋_GB2312" w:hAnsi="仿宋_GB2312" w:eastAsia="仿宋_GB2312" w:cs="仿宋_GB2312"/>
          <w:color w:val="auto"/>
          <w:sz w:val="32"/>
          <w:szCs w:val="32"/>
          <w:highlight w:val="none"/>
          <w:u w:val="none"/>
          <w:lang w:val="en-US" w:eastAsia="zh-CN"/>
        </w:rPr>
        <w:t>相关规定</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满洲里市发展和改革委员会</w:t>
      </w:r>
      <w:r>
        <w:rPr>
          <w:rFonts w:hint="eastAsia" w:ascii="仿宋_GB2312" w:hAnsi="仿宋_GB2312" w:eastAsia="仿宋_GB2312" w:cs="仿宋_GB2312"/>
          <w:color w:val="auto"/>
          <w:sz w:val="32"/>
          <w:szCs w:val="32"/>
        </w:rPr>
        <w:t>所属事业单位工作需要，</w:t>
      </w:r>
      <w:r>
        <w:rPr>
          <w:rFonts w:hint="eastAsia" w:ascii="仿宋_GB2312" w:hAnsi="仿宋_GB2312" w:eastAsia="仿宋_GB2312" w:cs="仿宋_GB2312"/>
          <w:color w:val="auto"/>
          <w:sz w:val="32"/>
          <w:szCs w:val="32"/>
          <w:u w:val="none"/>
          <w:lang w:val="en-US" w:eastAsia="zh-CN"/>
        </w:rPr>
        <w:t>经研究决定，</w:t>
      </w:r>
      <w:r>
        <w:rPr>
          <w:rFonts w:hint="eastAsia" w:ascii="仿宋_GB2312" w:hAnsi="仿宋_GB2312" w:eastAsia="仿宋_GB2312" w:cs="仿宋_GB2312"/>
          <w:color w:val="auto"/>
          <w:sz w:val="32"/>
          <w:szCs w:val="32"/>
        </w:rPr>
        <w:t>拟面向社会公开引进急需紧缺</w:t>
      </w:r>
      <w:r>
        <w:rPr>
          <w:rFonts w:hint="eastAsia" w:ascii="仿宋_GB2312" w:hAnsi="仿宋_GB2312" w:eastAsia="仿宋_GB2312" w:cs="仿宋_GB2312"/>
          <w:color w:val="auto"/>
          <w:sz w:val="32"/>
          <w:szCs w:val="32"/>
          <w:lang w:val="en-US" w:eastAsia="zh-CN"/>
        </w:rPr>
        <w:t>专业</w:t>
      </w:r>
      <w:r>
        <w:rPr>
          <w:rFonts w:hint="eastAsia" w:ascii="仿宋_GB2312" w:hAnsi="仿宋_GB2312" w:eastAsia="仿宋_GB2312" w:cs="仿宋_GB2312"/>
          <w:color w:val="auto"/>
          <w:sz w:val="32"/>
          <w:szCs w:val="32"/>
        </w:rPr>
        <w:t>人才。现将</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关事宜公告如下</w:t>
      </w:r>
      <w:r>
        <w:rPr>
          <w:rFonts w:hint="eastAsia" w:ascii="仿宋" w:hAnsi="仿宋" w:eastAsia="仿宋"/>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满洲里市发展和改革委员会</w:t>
      </w:r>
      <w:r>
        <w:rPr>
          <w:rFonts w:hint="eastAsia" w:ascii="仿宋_GB2312" w:hAnsi="仿宋_GB2312" w:eastAsia="仿宋_GB2312" w:cs="仿宋_GB2312"/>
          <w:color w:val="auto"/>
          <w:sz w:val="32"/>
          <w:szCs w:val="32"/>
          <w:highlight w:val="none"/>
          <w:lang w:val="en-US" w:eastAsia="zh-CN"/>
        </w:rPr>
        <w:t>（以下简称市发改委）</w:t>
      </w:r>
      <w:r>
        <w:rPr>
          <w:rFonts w:hint="eastAsia" w:ascii="仿宋_GB2312" w:hAnsi="仿宋_GB2312" w:eastAsia="仿宋_GB2312" w:cs="仿宋_GB2312"/>
          <w:color w:val="auto"/>
          <w:sz w:val="32"/>
          <w:szCs w:val="32"/>
        </w:rPr>
        <w:t>所属事业单位计划引进人才</w:t>
      </w:r>
      <w:r>
        <w:rPr>
          <w:rFonts w:hint="eastAsia" w:ascii="仿宋_GB2312" w:hAnsi="仿宋_GB2312" w:eastAsia="仿宋_GB2312" w:cs="仿宋_GB2312"/>
          <w:color w:val="auto"/>
          <w:sz w:val="32"/>
          <w:szCs w:val="32"/>
          <w:highlight w:val="none"/>
          <w:lang w:val="en-US" w:eastAsia="zh-CN"/>
        </w:rPr>
        <w:t>2名。</w:t>
      </w:r>
      <w:r>
        <w:rPr>
          <w:rFonts w:hint="eastAsia" w:ascii="仿宋_GB2312" w:hAnsi="仿宋_GB2312" w:eastAsia="仿宋_GB2312" w:cs="仿宋_GB2312"/>
          <w:color w:val="auto"/>
          <w:sz w:val="32"/>
          <w:szCs w:val="32"/>
          <w:highlight w:val="none"/>
        </w:rPr>
        <w:t>人才引进岗位</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条件详见</w:t>
      </w: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rPr>
        <w:t>《</w:t>
      </w:r>
      <w:bookmarkStart w:id="0" w:name="OLE_LINK17"/>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年满洲里市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sz w:val="32"/>
          <w:szCs w:val="32"/>
          <w:highlight w:val="none"/>
        </w:rPr>
        <w:t>所属事业单位人才引进</w:t>
      </w:r>
      <w:r>
        <w:rPr>
          <w:rFonts w:hint="eastAsia" w:ascii="仿宋_GB2312" w:hAnsi="仿宋_GB2312" w:eastAsia="仿宋_GB2312" w:cs="仿宋_GB2312"/>
          <w:sz w:val="32"/>
          <w:szCs w:val="32"/>
          <w:highlight w:val="none"/>
          <w:lang w:val="en-US" w:eastAsia="zh-CN"/>
        </w:rPr>
        <w:t>岗位</w:t>
      </w:r>
      <w:r>
        <w:rPr>
          <w:rFonts w:hint="eastAsia" w:ascii="仿宋_GB2312" w:hAnsi="仿宋_GB2312" w:eastAsia="仿宋_GB2312" w:cs="仿宋_GB2312"/>
          <w:sz w:val="32"/>
          <w:szCs w:val="32"/>
          <w:highlight w:val="none"/>
        </w:rPr>
        <w:t>需求表</w:t>
      </w:r>
      <w:bookmarkEnd w:id="0"/>
      <w:r>
        <w:rPr>
          <w:rFonts w:hint="eastAsia" w:ascii="仿宋_GB2312" w:hAnsi="仿宋_GB2312" w:eastAsia="仿宋_GB2312" w:cs="仿宋_GB2312"/>
          <w:color w:val="auto"/>
          <w:sz w:val="32"/>
          <w:szCs w:val="32"/>
          <w:highlight w:val="none"/>
        </w:rPr>
        <w:t>》（以下简称《</w:t>
      </w:r>
      <w:r>
        <w:rPr>
          <w:rFonts w:hint="eastAsia" w:ascii="仿宋_GB2312" w:hAnsi="仿宋_GB2312" w:eastAsia="仿宋_GB2312" w:cs="仿宋_GB2312"/>
          <w:color w:val="auto"/>
          <w:sz w:val="32"/>
          <w:szCs w:val="32"/>
          <w:highlight w:val="none"/>
          <w:lang w:val="en-US" w:eastAsia="zh-CN"/>
        </w:rPr>
        <w:t>岗位</w:t>
      </w:r>
      <w:r>
        <w:rPr>
          <w:rFonts w:hint="eastAsia" w:ascii="仿宋_GB2312" w:hAnsi="仿宋_GB2312" w:eastAsia="仿宋_GB2312" w:cs="仿宋_GB2312"/>
          <w:color w:val="auto"/>
          <w:sz w:val="32"/>
          <w:szCs w:val="32"/>
          <w:lang w:val="en-US" w:eastAsia="zh-CN"/>
        </w:rPr>
        <w:t>需求表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（一）引进对象须具备以下条件：</w:t>
      </w:r>
    </w:p>
    <w:p>
      <w:pPr>
        <w:spacing w:line="560" w:lineRule="exact"/>
        <w:ind w:firstLine="640" w:firstLineChars="200"/>
        <w:rPr>
          <w:rFonts w:hint="eastAsia" w:ascii="仿宋" w:hAnsi="仿宋" w:eastAsia="仿宋" w:cs="仿宋"/>
          <w:color w:val="auto"/>
          <w:sz w:val="32"/>
          <w:szCs w:val="32"/>
        </w:rPr>
      </w:pPr>
      <w:bookmarkStart w:id="1" w:name="OLE_LINK4"/>
      <w:r>
        <w:rPr>
          <w:rFonts w:hint="eastAsia" w:ascii="仿宋_GB2312" w:hAnsi="仿宋_GB2312" w:eastAsia="仿宋_GB2312" w:cs="仿宋_GB2312"/>
          <w:color w:val="auto"/>
          <w:sz w:val="32"/>
          <w:szCs w:val="32"/>
          <w:highlight w:val="none"/>
          <w:lang w:val="en-US" w:eastAsia="zh-CN"/>
        </w:rPr>
        <w:t>1.</w:t>
      </w:r>
      <w:r>
        <w:rPr>
          <w:rFonts w:hint="eastAsia" w:ascii="仿宋" w:hAnsi="仿宋" w:eastAsia="仿宋" w:cs="仿宋"/>
          <w:color w:val="auto"/>
          <w:sz w:val="32"/>
          <w:szCs w:val="32"/>
        </w:rPr>
        <w:t>具有中华人民共和国国籍；</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2.遵守中华人民共和国宪法和法律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拥护中国共产党领导和社会主义制度；</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3.铸牢中华民族共同体意识，自觉维护民族团结进步；</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4.品行端正，具有较强的事业心和责任感；遵守职业道德规范，无违法违纪行为，具有良好的品行、正常履行职责的身体条件和心理素质，具备相关基本能力；</w:t>
      </w:r>
    </w:p>
    <w:p>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5.本科生报考应具有一流大学、一流学科建设高校或原“985”“211”高校相关专业全日制本科学历并取得相应学位；研究生</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u w:val="none"/>
        </w:rPr>
        <w:t>以上学历报考应具有相关专业全日制</w:t>
      </w:r>
      <w:r>
        <w:rPr>
          <w:rFonts w:hint="eastAsia" w:ascii="仿宋" w:hAnsi="仿宋" w:eastAsia="仿宋" w:cs="仿宋"/>
          <w:color w:val="auto"/>
          <w:sz w:val="32"/>
          <w:szCs w:val="32"/>
          <w:u w:val="none"/>
          <w:lang w:eastAsia="zh-CN"/>
        </w:rPr>
        <w:t>硕士</w:t>
      </w:r>
      <w:r>
        <w:rPr>
          <w:rFonts w:hint="eastAsia" w:ascii="仿宋" w:hAnsi="仿宋" w:eastAsia="仿宋" w:cs="仿宋"/>
          <w:color w:val="auto"/>
          <w:sz w:val="32"/>
          <w:szCs w:val="32"/>
          <w:u w:val="none"/>
        </w:rPr>
        <w:t>研究生</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u w:val="none"/>
        </w:rPr>
        <w:t>以上学历并取得相应学位。</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auto"/>
          <w:sz w:val="32"/>
          <w:szCs w:val="32"/>
        </w:rPr>
        <w:t>6.全日制本科生不超</w:t>
      </w:r>
      <w:r>
        <w:rPr>
          <w:rFonts w:hint="eastAsia" w:ascii="仿宋" w:hAnsi="仿宋" w:eastAsia="仿宋" w:cs="仿宋"/>
          <w:color w:val="auto"/>
          <w:sz w:val="32"/>
          <w:szCs w:val="32"/>
          <w:highlight w:val="none"/>
        </w:rPr>
        <w:t>过35周岁（19</w:t>
      </w:r>
      <w:r>
        <w:rPr>
          <w:rFonts w:hint="eastAsia" w:ascii="仿宋" w:hAnsi="仿宋" w:eastAsia="仿宋" w:cs="仿宋"/>
          <w:color w:val="auto"/>
          <w:sz w:val="32"/>
          <w:szCs w:val="32"/>
          <w:highlight w:val="none"/>
          <w:lang w:val="en-US" w:eastAsia="zh-CN"/>
        </w:rPr>
        <w:t>89</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日以后出生），硕士研究生不超过40周岁（19</w:t>
      </w:r>
      <w:r>
        <w:rPr>
          <w:rFonts w:hint="eastAsia" w:ascii="仿宋" w:hAnsi="仿宋" w:eastAsia="仿宋" w:cs="仿宋"/>
          <w:color w:val="auto"/>
          <w:sz w:val="32"/>
          <w:szCs w:val="32"/>
          <w:highlight w:val="none"/>
          <w:lang w:val="en-US" w:eastAsia="zh-CN"/>
        </w:rPr>
        <w:t>84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日以后出生），博士研究生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u w:val="none"/>
          <w:lang w:eastAsia="zh-CN"/>
        </w:rPr>
        <w:t>具有副高级及以上专业技术职称及高技能人才</w:t>
      </w:r>
      <w:r>
        <w:rPr>
          <w:rFonts w:hint="eastAsia" w:ascii="仿宋" w:hAnsi="仿宋" w:eastAsia="仿宋" w:cs="仿宋"/>
          <w:color w:val="auto"/>
          <w:sz w:val="32"/>
          <w:szCs w:val="32"/>
          <w:highlight w:val="none"/>
        </w:rPr>
        <w:t>原则上不超过45周岁（19</w:t>
      </w:r>
      <w:r>
        <w:rPr>
          <w:rFonts w:hint="eastAsia" w:ascii="仿宋" w:hAnsi="仿宋" w:eastAsia="仿宋" w:cs="仿宋"/>
          <w:color w:val="auto"/>
          <w:sz w:val="32"/>
          <w:szCs w:val="32"/>
          <w:highlight w:val="none"/>
          <w:lang w:val="en-US" w:eastAsia="zh-CN"/>
        </w:rPr>
        <w:t>79</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日以后出生）；</w:t>
      </w:r>
      <w:r>
        <w:rPr>
          <w:rFonts w:hint="eastAsia" w:ascii="仿宋" w:hAnsi="仿宋" w:eastAsia="仿宋" w:cs="仿宋"/>
          <w:color w:val="auto"/>
          <w:sz w:val="32"/>
          <w:szCs w:val="32"/>
        </w:rPr>
        <w:t>学历及其他资格条件所取得时间为202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年7月31日前；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rPr>
        <w:t>7.国（境）外留学归国学士、硕士或博士研究生需持有国外学历学位认证书，专业名称须与国内专业名称一致或相近。</w:t>
      </w:r>
      <w:r>
        <w:rPr>
          <w:rFonts w:hint="eastAsia" w:ascii="仿宋" w:hAnsi="仿宋" w:eastAsia="仿宋" w:cs="仿宋"/>
          <w:color w:val="auto"/>
          <w:sz w:val="32"/>
          <w:szCs w:val="32"/>
          <w:u w:val="none"/>
          <w:lang w:val="en-US" w:eastAsia="zh-CN"/>
        </w:rPr>
        <w:t>国(境)外硕士研究生及以上学历的,学制须为2年及以上且本科毕业于国内全日制高校;学制2年以下的,毕业院校需为2025年度英国QS世界大学排名、泰晤士高等教育世界大学排名、《美国新闻与世界报道》世界大学排名、软科世界大学学术排名前1000名；</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i w:val="0"/>
          <w:iCs w:val="0"/>
          <w:u w:val="none"/>
        </w:rPr>
      </w:pPr>
      <w:r>
        <w:rPr>
          <w:rFonts w:hint="eastAsia" w:ascii="仿宋" w:hAnsi="仿宋" w:eastAsia="仿宋" w:cs="仿宋"/>
          <w:i w:val="0"/>
          <w:iCs w:val="0"/>
          <w:color w:val="auto"/>
          <w:sz w:val="32"/>
          <w:szCs w:val="32"/>
          <w:u w:val="none"/>
          <w:lang w:val="en-US" w:eastAsia="zh-CN"/>
        </w:rPr>
        <w:t>8.</w:t>
      </w:r>
      <w:r>
        <w:rPr>
          <w:rFonts w:hint="eastAsia" w:ascii="仿宋" w:hAnsi="仿宋" w:eastAsia="仿宋" w:cs="仿宋"/>
          <w:i w:val="0"/>
          <w:iCs w:val="0"/>
          <w:color w:val="auto"/>
          <w:sz w:val="32"/>
          <w:szCs w:val="32"/>
          <w:u w:val="none"/>
          <w:lang w:eastAsia="zh-CN"/>
        </w:rPr>
        <w:t>获得省级、自治区级及以上表彰奖励(奖项)的高技能人才、“双师型”人才;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.岗位所需的其他条件</w:t>
      </w:r>
      <w:r>
        <w:rPr>
          <w:rFonts w:hint="eastAsia" w:ascii="仿宋" w:hAnsi="仿宋" w:eastAsia="仿宋" w:cs="仿宋"/>
          <w:color w:val="auto"/>
          <w:sz w:val="32"/>
          <w:szCs w:val="32"/>
          <w:lang w:eastAsia="zh-CN"/>
        </w:rPr>
        <w:t>。</w:t>
      </w:r>
    </w:p>
    <w:bookmarkEnd w:id="1"/>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（二）以下人员不得报名: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bookmarkStart w:id="2" w:name="OLE_LINK5"/>
      <w:r>
        <w:rPr>
          <w:rFonts w:hint="eastAsia" w:ascii="仿宋_GB2312" w:hAnsi="仿宋_GB2312" w:eastAsia="仿宋_GB2312" w:cs="仿宋_GB2312"/>
          <w:color w:val="auto"/>
          <w:sz w:val="32"/>
          <w:szCs w:val="32"/>
          <w:highlight w:val="none"/>
          <w:lang w:val="en-US" w:eastAsia="zh-CN"/>
        </w:rPr>
        <w:t>1.</w:t>
      </w:r>
      <w:r>
        <w:rPr>
          <w:rFonts w:hint="eastAsia" w:ascii="仿宋" w:hAnsi="仿宋" w:eastAsia="仿宋"/>
          <w:color w:val="auto"/>
          <w:sz w:val="32"/>
          <w:szCs w:val="32"/>
        </w:rPr>
        <w:t>在读的普通高等学校全日制</w:t>
      </w:r>
      <w:r>
        <w:rPr>
          <w:rFonts w:hint="eastAsia" w:ascii="仿宋" w:hAnsi="仿宋" w:eastAsia="仿宋"/>
          <w:color w:val="auto"/>
          <w:sz w:val="32"/>
          <w:szCs w:val="32"/>
          <w:u w:val="none"/>
          <w:lang w:eastAsia="zh-CN"/>
        </w:rPr>
        <w:t>专科生</w:t>
      </w:r>
      <w:r>
        <w:rPr>
          <w:rFonts w:hint="eastAsia" w:ascii="仿宋" w:hAnsi="仿宋" w:eastAsia="仿宋"/>
          <w:color w:val="auto"/>
          <w:sz w:val="32"/>
          <w:szCs w:val="32"/>
          <w:lang w:eastAsia="zh-CN"/>
        </w:rPr>
        <w:t>、</w:t>
      </w:r>
      <w:r>
        <w:rPr>
          <w:rFonts w:hint="eastAsia" w:ascii="仿宋" w:hAnsi="仿宋" w:eastAsia="仿宋"/>
          <w:color w:val="auto"/>
          <w:sz w:val="32"/>
          <w:szCs w:val="32"/>
        </w:rPr>
        <w:t>本科生、研究生（不含应届毕业生）；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u w:val="none"/>
        </w:rPr>
      </w:pPr>
      <w:r>
        <w:rPr>
          <w:rFonts w:hint="eastAsia" w:ascii="仿宋" w:hAnsi="仿宋" w:eastAsia="仿宋"/>
          <w:color w:val="auto"/>
          <w:sz w:val="32"/>
          <w:szCs w:val="32"/>
        </w:rPr>
        <w:t>3</w:t>
      </w:r>
      <w:r>
        <w:rPr>
          <w:rFonts w:hint="eastAsia" w:ascii="仿宋" w:hAnsi="仿宋" w:eastAsia="仿宋"/>
          <w:color w:val="auto"/>
          <w:sz w:val="32"/>
          <w:szCs w:val="32"/>
          <w:u w:val="none"/>
        </w:rPr>
        <w:t>.</w:t>
      </w:r>
      <w:r>
        <w:rPr>
          <w:rFonts w:hint="eastAsia" w:ascii="仿宋" w:hAnsi="仿宋" w:eastAsia="仿宋"/>
          <w:color w:val="auto"/>
          <w:sz w:val="32"/>
          <w:szCs w:val="32"/>
          <w:u w:val="none"/>
          <w:lang w:eastAsia="zh-CN"/>
        </w:rPr>
        <w:t>有犯罪记录的；被开除中国共产党党籍和公职的；</w:t>
      </w:r>
      <w:r>
        <w:rPr>
          <w:rFonts w:hint="eastAsia" w:ascii="仿宋" w:hAnsi="仿宋" w:eastAsia="仿宋"/>
          <w:color w:val="auto"/>
          <w:sz w:val="32"/>
          <w:szCs w:val="32"/>
          <w:u w:val="none"/>
        </w:rPr>
        <w:t>在立案审查期间或在党纪、政务处分影响期内</w:t>
      </w:r>
      <w:r>
        <w:rPr>
          <w:rFonts w:hint="eastAsia" w:ascii="仿宋" w:hAnsi="仿宋" w:eastAsia="仿宋"/>
          <w:color w:val="auto"/>
          <w:sz w:val="32"/>
          <w:szCs w:val="32"/>
          <w:u w:val="none"/>
          <w:lang w:eastAsia="zh-CN"/>
        </w:rPr>
        <w:t>或者期满影响聘用的；曾被依法列为失信联合惩戒对象的人员</w:t>
      </w:r>
      <w:r>
        <w:rPr>
          <w:rFonts w:hint="eastAsia" w:ascii="仿宋" w:hAnsi="仿宋" w:eastAsia="仿宋"/>
          <w:color w:val="auto"/>
          <w:sz w:val="32"/>
          <w:szCs w:val="32"/>
          <w:u w:val="none"/>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
          <w:u w:val="none"/>
          <w:lang w:val="en-US" w:eastAsia="zh-CN"/>
        </w:rPr>
      </w:pPr>
      <w:r>
        <w:rPr>
          <w:rFonts w:hint="eastAsia" w:ascii="仿宋" w:hAnsi="仿宋" w:eastAsia="仿宋"/>
          <w:color w:val="auto"/>
          <w:sz w:val="32"/>
          <w:szCs w:val="32"/>
          <w:u w:val="none"/>
          <w:lang w:val="en-US" w:eastAsia="zh-CN"/>
        </w:rPr>
        <w:t>4.被辞退的公务员、参照公务员法管理人员、事业单位工作人员；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u w:val="none"/>
          <w:lang w:val="en-US" w:eastAsia="zh-CN"/>
        </w:rPr>
        <w:t>5</w:t>
      </w:r>
      <w:r>
        <w:rPr>
          <w:rFonts w:hint="eastAsia" w:ascii="仿宋" w:hAnsi="仿宋" w:eastAsia="仿宋"/>
          <w:color w:val="auto"/>
          <w:sz w:val="32"/>
          <w:szCs w:val="32"/>
          <w:u w:val="none"/>
        </w:rPr>
        <w:t>.在</w:t>
      </w:r>
      <w:r>
        <w:rPr>
          <w:rFonts w:hint="eastAsia" w:ascii="仿宋" w:hAnsi="仿宋" w:eastAsia="仿宋"/>
          <w:color w:val="auto"/>
          <w:sz w:val="32"/>
          <w:szCs w:val="32"/>
          <w:u w:val="none"/>
          <w:lang w:eastAsia="zh-CN"/>
        </w:rPr>
        <w:t>公务员招考或事业单位</w:t>
      </w:r>
      <w:r>
        <w:rPr>
          <w:rFonts w:hint="eastAsia" w:ascii="仿宋" w:hAnsi="仿宋" w:eastAsia="仿宋"/>
          <w:color w:val="auto"/>
          <w:sz w:val="32"/>
          <w:szCs w:val="32"/>
          <w:u w:val="none"/>
        </w:rPr>
        <w:t>公开</w:t>
      </w:r>
      <w:r>
        <w:rPr>
          <w:rFonts w:hint="eastAsia" w:ascii="仿宋" w:hAnsi="仿宋" w:eastAsia="仿宋"/>
          <w:color w:val="auto"/>
          <w:sz w:val="32"/>
          <w:szCs w:val="32"/>
          <w:u w:val="none"/>
          <w:lang w:eastAsia="zh-CN"/>
        </w:rPr>
        <w:t>招聘</w:t>
      </w:r>
      <w:r>
        <w:rPr>
          <w:rFonts w:hint="eastAsia" w:ascii="仿宋" w:hAnsi="仿宋" w:eastAsia="仿宋"/>
          <w:color w:val="auto"/>
          <w:sz w:val="32"/>
          <w:szCs w:val="32"/>
          <w:u w:val="none"/>
        </w:rPr>
        <w:t>中</w:t>
      </w:r>
      <w:r>
        <w:rPr>
          <w:rFonts w:hint="eastAsia" w:ascii="仿宋" w:hAnsi="仿宋" w:eastAsia="仿宋"/>
          <w:color w:val="auto"/>
          <w:sz w:val="32"/>
          <w:szCs w:val="32"/>
        </w:rPr>
        <w:t>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.现役军人；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eastAsia="zh-CN"/>
        </w:rPr>
        <w:t>引进后</w:t>
      </w:r>
      <w:r>
        <w:rPr>
          <w:rFonts w:hint="eastAsia" w:ascii="仿宋" w:hAnsi="仿宋" w:eastAsia="仿宋"/>
          <w:color w:val="auto"/>
          <w:sz w:val="32"/>
          <w:szCs w:val="32"/>
        </w:rPr>
        <w:t>即构成回避关系岗位的人员；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olor w:val="auto"/>
          <w:sz w:val="32"/>
          <w:szCs w:val="32"/>
          <w:lang w:val="en-US" w:eastAsia="zh-CN"/>
        </w:rPr>
        <w:t>8</w:t>
      </w:r>
      <w:r>
        <w:rPr>
          <w:rFonts w:hint="eastAsia" w:ascii="仿宋" w:hAnsi="仿宋" w:eastAsia="仿宋"/>
          <w:color w:val="auto"/>
          <w:sz w:val="32"/>
          <w:szCs w:val="32"/>
        </w:rPr>
        <w:t>.法律法规规定不得聘用为事业单位工作人员的其他情形人员。</w:t>
      </w:r>
    </w:p>
    <w:bookmarkEnd w:id="2"/>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3" w:name="OLE_LINK7"/>
      <w:r>
        <w:rPr>
          <w:rFonts w:hint="eastAsia" w:ascii="楷体_GB2312" w:hAnsi="楷体_GB2312" w:eastAsia="楷体_GB2312" w:cs="楷体_GB2312"/>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bookmarkStart w:id="4" w:name="OLE_LINK20"/>
      <w:bookmarkStart w:id="5" w:name="OLE_LINK21"/>
      <w:r>
        <w:rPr>
          <w:rFonts w:hint="eastAsia" w:ascii="仿宋_GB2312" w:hAnsi="仿宋_GB2312" w:eastAsia="仿宋_GB2312" w:cs="仿宋_GB2312"/>
          <w:color w:val="auto"/>
          <w:sz w:val="32"/>
          <w:szCs w:val="32"/>
          <w:u w:val="none"/>
        </w:rPr>
        <w:t>通过满洲里市人民政府网</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highlight w:val="none"/>
          <w:u w:val="none"/>
        </w:rPr>
        <w:t>满洲里市融媒体中心</w:t>
      </w:r>
      <w:r>
        <w:rPr>
          <w:rFonts w:hint="eastAsia" w:ascii="仿宋_GB2312" w:hAnsi="仿宋_GB2312" w:eastAsia="仿宋_GB2312" w:cs="仿宋_GB2312"/>
          <w:color w:val="auto"/>
          <w:sz w:val="32"/>
          <w:szCs w:val="32"/>
          <w:u w:val="none"/>
          <w:lang w:val="en-US" w:eastAsia="zh-CN"/>
        </w:rPr>
        <w:t>向社会</w:t>
      </w:r>
      <w:r>
        <w:rPr>
          <w:rFonts w:hint="eastAsia" w:ascii="仿宋_GB2312" w:hAnsi="仿宋_GB2312" w:eastAsia="仿宋_GB2312" w:cs="仿宋_GB2312"/>
          <w:color w:val="auto"/>
          <w:sz w:val="32"/>
          <w:szCs w:val="32"/>
          <w:u w:val="none"/>
        </w:rPr>
        <w:t>发布公告</w:t>
      </w:r>
      <w:r>
        <w:rPr>
          <w:rFonts w:hint="eastAsia" w:ascii="仿宋_GB2312" w:hAnsi="仿宋_GB2312" w:eastAsia="仿宋_GB2312" w:cs="仿宋_GB2312"/>
          <w:color w:val="auto"/>
          <w:sz w:val="32"/>
          <w:szCs w:val="32"/>
          <w:u w:val="none"/>
          <w:lang w:eastAsia="zh-CN"/>
        </w:rPr>
        <w:t>。</w:t>
      </w:r>
      <w:bookmarkEnd w:id="4"/>
    </w:p>
    <w:bookmarkEnd w:id="5"/>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C00000"/>
          <w:sz w:val="32"/>
          <w:szCs w:val="32"/>
          <w:highlight w:val="none"/>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2"/>
          <w:sz w:val="32"/>
          <w:szCs w:val="32"/>
          <w:lang w:val="en-US" w:eastAsia="zh-CN" w:bidi="ar-SA"/>
        </w:rPr>
        <w:t>报名时间：</w:t>
      </w:r>
      <w:r>
        <w:rPr>
          <w:rFonts w:hint="eastAsia" w:ascii="仿宋_GB2312" w:hAnsi="仿宋_GB2312" w:eastAsia="仿宋_GB2312" w:cs="仿宋_GB2312"/>
          <w:color w:val="auto"/>
          <w:kern w:val="2"/>
          <w:sz w:val="32"/>
          <w:szCs w:val="32"/>
          <w:highlight w:val="none"/>
          <w:lang w:val="en-US" w:eastAsia="zh-CN" w:bidi="ar-SA"/>
        </w:rPr>
        <w:t>2025</w:t>
      </w:r>
      <w:r>
        <w:rPr>
          <w:rFonts w:hint="eastAsia" w:ascii="仿宋_GB2312" w:hAnsi="仿宋_GB2312" w:eastAsia="仿宋_GB2312" w:cs="仿宋_GB2312"/>
          <w:color w:val="auto"/>
          <w:sz w:val="32"/>
          <w:szCs w:val="32"/>
          <w:highlight w:val="none"/>
          <w:lang w:val="en-US" w:eastAsia="zh-CN"/>
        </w:rPr>
        <w:t>年5月26日--6月6日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方式</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val="en-US" w:eastAsia="zh-CN"/>
        </w:rPr>
        <w:t>网络</w:t>
      </w:r>
      <w:r>
        <w:rPr>
          <w:rFonts w:hint="eastAsia" w:ascii="仿宋_GB2312" w:hAnsi="仿宋_GB2312" w:eastAsia="仿宋_GB2312" w:cs="仿宋_GB2312"/>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2"/>
          <w:rFonts w:hint="eastAsia" w:ascii="仿宋_GB2312" w:hAnsi="仿宋_GB2312" w:eastAsia="仿宋_GB2312" w:cs="仿宋_GB2312"/>
          <w:color w:val="auto"/>
          <w:sz w:val="32"/>
          <w:szCs w:val="32"/>
          <w:highlight w:val="yellow"/>
          <w:u w:val="none"/>
        </w:rPr>
      </w:pPr>
      <w:r>
        <w:rPr>
          <w:rFonts w:hint="eastAsia" w:ascii="仿宋_GB2312" w:hAnsi="仿宋_GB2312" w:eastAsia="仿宋_GB2312" w:cs="仿宋_GB2312"/>
          <w:color w:val="auto"/>
          <w:sz w:val="32"/>
          <w:szCs w:val="32"/>
        </w:rPr>
        <w:t>报名邮箱：</w:t>
      </w:r>
      <w:r>
        <w:rPr>
          <w:rFonts w:hint="eastAsia" w:ascii="仿宋" w:hAnsi="仿宋" w:eastAsia="仿宋"/>
          <w:sz w:val="32"/>
          <w:szCs w:val="32"/>
          <w:highlight w:val="none"/>
          <w:lang w:eastAsia="zh-CN"/>
        </w:rPr>
        <w:t>mzlfgwbgs@126.com</w:t>
      </w:r>
    </w:p>
    <w:p>
      <w:pPr>
        <w:pStyle w:val="5"/>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按要求填写附件2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bookmarkStart w:id="6" w:name="OLE_LINK15"/>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年满洲里市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color w:val="auto"/>
          <w:sz w:val="32"/>
          <w:szCs w:val="32"/>
        </w:rPr>
        <w:t>所属事业单位人才引进报名表</w:t>
      </w:r>
      <w:bookmarkEnd w:id="6"/>
      <w:r>
        <w:rPr>
          <w:rFonts w:hint="eastAsia" w:ascii="仿宋_GB2312" w:hAnsi="仿宋_GB2312" w:eastAsia="仿宋_GB2312" w:cs="仿宋_GB2312"/>
          <w:color w:val="auto"/>
          <w:sz w:val="32"/>
          <w:szCs w:val="32"/>
        </w:rPr>
        <w:t>》，并上传本人近期2寸正面免冠数码彩照(白色背景，jpg格式，100KB以下)。</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"mailto:在报名期限内发送到邮箱mzlwtlygdj@163.com"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在报名期限内发送到邮箱</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eastAsia="zh-CN"/>
        </w:rPr>
        <w:t>（</w:t>
      </w:r>
      <w:r>
        <w:rPr>
          <w:rFonts w:hint="eastAsia" w:ascii="仿宋" w:hAnsi="仿宋" w:eastAsia="仿宋"/>
          <w:sz w:val="32"/>
          <w:szCs w:val="32"/>
          <w:highlight w:val="none"/>
          <w:lang w:eastAsia="zh-CN"/>
        </w:rPr>
        <w:t>mzlfgwbgs@126.com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，发送报名信息时请点击已读回执，确认报名信息发送成功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人员填写个人简历时，须完整填写学习和工作经历，时间不得间断或空缺。</w:t>
      </w:r>
      <w:r>
        <w:rPr>
          <w:rFonts w:hint="eastAsia" w:ascii="仿宋_GB2312" w:hAnsi="仿宋_GB2312" w:eastAsia="仿宋_GB2312" w:cs="仿宋_GB2312"/>
          <w:color w:val="auto"/>
          <w:sz w:val="32"/>
          <w:szCs w:val="32"/>
          <w:lang w:val="en-US" w:eastAsia="zh-CN"/>
        </w:rPr>
        <w:t>报名信息填写不全、不规范或</w:t>
      </w:r>
      <w:r>
        <w:rPr>
          <w:rFonts w:hint="eastAsia" w:ascii="仿宋_GB2312" w:hAnsi="仿宋_GB2312" w:eastAsia="仿宋_GB2312" w:cs="仿宋_GB2312"/>
          <w:color w:val="auto"/>
          <w:sz w:val="32"/>
          <w:szCs w:val="32"/>
        </w:rPr>
        <w:t>不按要求填写报名信息的，不予审核通过。</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人员要认真阅读报考条件和要求，所填报考信息应当真实、准确、完整、规范，凡弄虚作假者将取消考试</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.报名时需提供以下材料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均</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扫描</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PDF格式文件</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打包（姓名+报考岗位）上传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（1）《2025年满洲里市发改委所属事业单位人才引进报名表》；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学历、学位证书</w:t>
      </w:r>
      <w:r>
        <w:rPr>
          <w:rFonts w:hint="eastAsia" w:ascii="仿宋_GB2312" w:hAnsi="仿宋_GB2312" w:eastAsia="仿宋_GB2312" w:cs="仿宋_GB2312"/>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 w:hAnsi="仿宋" w:eastAsia="仿宋"/>
          <w:color w:val="auto"/>
          <w:sz w:val="32"/>
          <w:szCs w:val="32"/>
          <w:highlight w:val="none"/>
        </w:rPr>
        <w:t>《教育部学历证书电子注册备案表》《学位认证报告》；取得国外学历学位的需提供教育部留学服务中心国外学历学位认证书、成绩单和毕业证书（标注本人姓名和证件相关内容翻译名称</w:t>
      </w:r>
      <w:r>
        <w:rPr>
          <w:rFonts w:hint="eastAsia" w:ascii="仿宋" w:hAnsi="仿宋" w:eastAsia="仿宋"/>
          <w:color w:val="auto"/>
          <w:sz w:val="32"/>
          <w:szCs w:val="32"/>
          <w:highlight w:val="none"/>
          <w:lang w:eastAsia="zh-CN"/>
        </w:rPr>
        <w:t>，</w:t>
      </w:r>
      <w:r>
        <w:rPr>
          <w:rFonts w:hint="eastAsia" w:ascii="仿宋" w:hAnsi="仿宋" w:eastAsia="仿宋" w:cs="仿宋"/>
          <w:color w:val="auto"/>
          <w:sz w:val="32"/>
          <w:szCs w:val="32"/>
          <w:u w:val="none"/>
          <w:lang w:val="en-US" w:eastAsia="zh-CN"/>
        </w:rPr>
        <w:t>学制2年以下的,需参考2025年度的院校排名表</w:t>
      </w:r>
      <w:r>
        <w:rPr>
          <w:rFonts w:hint="eastAsia" w:ascii="仿宋" w:hAnsi="仿宋" w:eastAsia="仿宋"/>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（4）居民身份证、户口簿或当地户籍管理机关出具的户籍证明等材料；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（5）《无不得引进情形承诺书》；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（6）应聘人员属于企事业单位职工的，须提供所在单位同意报考证明；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（7）相关专业资格证书、职称证书和专业技术资格评审表、荣誉证书及佐证材料；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人员须在规定时间内报名，如不按要求报名视为无效。</w:t>
      </w:r>
      <w:r>
        <w:rPr>
          <w:rFonts w:hint="eastAsia" w:ascii="仿宋_GB2312" w:hAnsi="仿宋_GB2312" w:eastAsia="仿宋_GB2312" w:cs="仿宋_GB2312"/>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（三）资格</w:t>
      </w:r>
      <w:r>
        <w:rPr>
          <w:rFonts w:hint="eastAsia" w:ascii="楷体_GB2312" w:hAnsi="楷体_GB2312" w:eastAsia="楷体_GB2312" w:cs="楷体_GB2312"/>
          <w:b/>
          <w:bCs/>
          <w:color w:val="auto"/>
          <w:sz w:val="32"/>
          <w:szCs w:val="32"/>
          <w:lang w:val="en-US" w:eastAsia="zh-CN"/>
        </w:rPr>
        <w:t>初</w:t>
      </w:r>
      <w:r>
        <w:rPr>
          <w:rFonts w:hint="eastAsia" w:ascii="楷体_GB2312" w:hAnsi="楷体_GB2312" w:eastAsia="楷体_GB2312" w:cs="楷体_GB2312"/>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color w:val="auto"/>
          <w:sz w:val="32"/>
          <w:szCs w:val="32"/>
        </w:rPr>
        <w:t>人才引进工作领导小组负责</w:t>
      </w:r>
      <w:r>
        <w:rPr>
          <w:rFonts w:hint="eastAsia" w:ascii="仿宋_GB2312" w:hAnsi="仿宋_GB2312" w:eastAsia="仿宋_GB2312" w:cs="仿宋_GB2312"/>
          <w:color w:val="auto"/>
          <w:sz w:val="32"/>
          <w:szCs w:val="32"/>
          <w:lang w:val="en-US" w:eastAsia="zh-CN"/>
        </w:rPr>
        <w:t>对报名人员进行资格初审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在报名结束后进行</w:t>
      </w:r>
      <w:r>
        <w:rPr>
          <w:rFonts w:hint="eastAsia" w:ascii="仿宋_GB2312" w:hAnsi="仿宋_GB2312" w:eastAsia="仿宋_GB2312" w:cs="仿宋_GB2312"/>
          <w:color w:val="auto"/>
          <w:sz w:val="32"/>
          <w:szCs w:val="32"/>
        </w:rPr>
        <w:t>，审核结果在3个工作日内以电话和邮箱形式同时</w:t>
      </w:r>
      <w:r>
        <w:rPr>
          <w:rFonts w:hint="eastAsia" w:ascii="仿宋_GB2312" w:hAnsi="仿宋_GB2312" w:eastAsia="仿宋_GB2312" w:cs="仿宋_GB2312"/>
          <w:color w:val="auto"/>
          <w:sz w:val="32"/>
          <w:szCs w:val="32"/>
          <w:lang w:val="en-US" w:eastAsia="zh-CN"/>
        </w:rPr>
        <w:t>通知报名人员</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人员务必保持通讯畅通，若因个人原因导致未能及时联系上本人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人岗相适</w:t>
      </w:r>
      <w:r>
        <w:rPr>
          <w:rFonts w:hint="eastAsia" w:ascii="仿宋_GB2312" w:hAnsi="仿宋_GB2312" w:eastAsia="仿宋_GB2312" w:cs="仿宋_GB2312"/>
          <w:color w:val="auto"/>
          <w:sz w:val="32"/>
          <w:szCs w:val="32"/>
        </w:rPr>
        <w:t>评估时间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及具体要求</w:t>
      </w:r>
      <w:r>
        <w:rPr>
          <w:rFonts w:hint="eastAsia" w:ascii="仿宋_GB2312" w:hAnsi="仿宋_GB2312" w:eastAsia="仿宋_GB2312" w:cs="仿宋_GB2312"/>
          <w:color w:val="auto"/>
          <w:sz w:val="32"/>
          <w:szCs w:val="32"/>
        </w:rPr>
        <w:t>将由满洲里市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color w:val="auto"/>
          <w:sz w:val="32"/>
          <w:szCs w:val="32"/>
        </w:rPr>
        <w:t>人才引进工作领导小组</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电话通知</w:t>
      </w:r>
      <w:r>
        <w:rPr>
          <w:rFonts w:hint="eastAsia" w:ascii="仿宋_GB2312" w:hAnsi="仿宋_GB2312" w:eastAsia="仿宋_GB2312" w:cs="仿宋_GB2312"/>
          <w:color w:val="auto"/>
          <w:sz w:val="32"/>
          <w:szCs w:val="32"/>
          <w:lang w:val="en-US" w:eastAsia="zh-CN"/>
        </w:rPr>
        <w:t>符合条件的报名</w:t>
      </w:r>
      <w:r>
        <w:rPr>
          <w:rFonts w:hint="eastAsia" w:ascii="仿宋_GB2312" w:hAnsi="仿宋_GB2312" w:eastAsia="仿宋_GB2312" w:cs="仿宋_GB2312"/>
          <w:color w:val="auto"/>
          <w:sz w:val="32"/>
          <w:szCs w:val="32"/>
        </w:rPr>
        <w:t>人员本人，因</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人员个人原因导致未能及时联系上的，按自动放弃处理，取消其相应资格。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人员须持《202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color w:val="auto"/>
          <w:sz w:val="32"/>
          <w:szCs w:val="32"/>
        </w:rPr>
        <w:t>所属事业单位人才引进报名表》、本人居民二代身份证原件在规定的时间地点参加</w:t>
      </w:r>
      <w:r>
        <w:rPr>
          <w:rFonts w:hint="eastAsia" w:ascii="仿宋_GB2312" w:hAnsi="仿宋_GB2312" w:eastAsia="仿宋_GB2312" w:cs="仿宋_GB2312"/>
          <w:color w:val="auto"/>
          <w:sz w:val="32"/>
          <w:szCs w:val="32"/>
          <w:lang w:eastAsia="zh-CN"/>
        </w:rPr>
        <w:t>人岗相适</w:t>
      </w:r>
      <w:r>
        <w:rPr>
          <w:rFonts w:hint="eastAsia" w:ascii="仿宋_GB2312" w:hAnsi="仿宋_GB2312" w:eastAsia="仿宋_GB2312" w:cs="仿宋_GB2312"/>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坚持按照“公平、公开、公正”的原则开展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highlight w:val="none"/>
          <w:lang w:val="en-US" w:eastAsia="zh-CN"/>
        </w:rPr>
        <w:t>发改委人</w:t>
      </w:r>
      <w:r>
        <w:rPr>
          <w:rFonts w:hint="eastAsia" w:ascii="仿宋_GB2312" w:hAnsi="仿宋_GB2312" w:eastAsia="仿宋_GB2312" w:cs="仿宋_GB2312"/>
          <w:color w:val="auto"/>
          <w:sz w:val="32"/>
          <w:szCs w:val="32"/>
          <w:lang w:val="en-US" w:eastAsia="zh-CN"/>
        </w:rPr>
        <w:t>才引进工作领导小组负责</w:t>
      </w:r>
      <w:r>
        <w:rPr>
          <w:rFonts w:hint="eastAsia" w:ascii="仿宋_GB2312" w:hAnsi="仿宋_GB2312" w:eastAsia="仿宋_GB2312" w:cs="仿宋_GB2312"/>
          <w:color w:val="auto"/>
          <w:sz w:val="32"/>
          <w:szCs w:val="32"/>
        </w:rPr>
        <w:t>对符合条件的</w:t>
      </w:r>
      <w:r>
        <w:rPr>
          <w:rFonts w:hint="eastAsia" w:ascii="仿宋_GB2312" w:hAnsi="仿宋_GB2312" w:eastAsia="仿宋_GB2312" w:cs="仿宋_GB2312"/>
          <w:color w:val="auto"/>
          <w:sz w:val="32"/>
          <w:szCs w:val="32"/>
          <w:lang w:val="en-US" w:eastAsia="zh-CN"/>
        </w:rPr>
        <w:t>报名人员</w:t>
      </w:r>
      <w:r>
        <w:rPr>
          <w:rFonts w:hint="eastAsia" w:ascii="仿宋_GB2312" w:hAnsi="仿宋_GB2312" w:eastAsia="仿宋_GB2312" w:cs="仿宋_GB2312"/>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color w:val="auto"/>
          <w:sz w:val="32"/>
          <w:szCs w:val="32"/>
        </w:rPr>
        <w:t>1.评估方式</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人岗相适评估主要采取结构化面试的方式进行，报名人数超过10人（含10人）时增加笔试环节，笔试后再进行结构化面试，笔试成绩占50%，结构化面试成绩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2.评估内容</w:t>
      </w:r>
    </w:p>
    <w:p>
      <w:pPr>
        <w:pStyle w:val="4"/>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评估主要考察</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人员与岗位相适应的</w:t>
      </w:r>
      <w:r>
        <w:rPr>
          <w:rFonts w:hint="eastAsia" w:ascii="仿宋_GB2312" w:hAnsi="仿宋_GB2312" w:eastAsia="仿宋_GB2312" w:cs="仿宋_GB2312"/>
          <w:color w:val="auto"/>
          <w:sz w:val="32"/>
          <w:szCs w:val="32"/>
          <w:highlight w:val="none"/>
          <w:lang w:val="en-US" w:eastAsia="zh-CN"/>
        </w:rPr>
        <w:t>理论水平、</w:t>
      </w:r>
      <w:r>
        <w:rPr>
          <w:rFonts w:hint="eastAsia" w:ascii="仿宋_GB2312" w:hAnsi="仿宋_GB2312" w:eastAsia="仿宋_GB2312" w:cs="仿宋_GB2312"/>
          <w:color w:val="auto"/>
          <w:sz w:val="32"/>
          <w:szCs w:val="32"/>
          <w:highlight w:val="none"/>
        </w:rPr>
        <w:t>专业知识、业务能力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综合素质</w:t>
      </w:r>
      <w:r>
        <w:rPr>
          <w:rFonts w:hint="eastAsia" w:ascii="仿宋_GB2312" w:hAnsi="仿宋_GB2312" w:eastAsia="仿宋_GB2312" w:cs="仿宋_GB2312"/>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3.评估方法</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按照人才引进岗位要求，在笔试中，试卷满分为100分，笔试结束后，立即由专家评估组对照标准答案阅卷评分，笔试成绩及时公布。</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人才引进工作在成绩公布、体检、考察环节以及拟引进人员公示结束前出现缺额时，按照总成绩从高到低的顺序依次等额进行递补，单独结构化面试成绩低于60分（不含60分）或笔试和结构化面试总分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bookmarkStart w:id="7" w:name="OLE_LINK12"/>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color w:val="auto"/>
          <w:sz w:val="32"/>
          <w:szCs w:val="32"/>
          <w:lang w:val="en-US" w:eastAsia="zh-CN"/>
        </w:rPr>
        <w:t>人才引进工作领导小组负责电话通知</w:t>
      </w:r>
      <w:r>
        <w:rPr>
          <w:rFonts w:hint="eastAsia" w:ascii="仿宋_GB2312" w:hAnsi="仿宋_GB2312" w:eastAsia="仿宋_GB2312" w:cs="仿宋_GB2312"/>
          <w:color w:val="auto"/>
          <w:sz w:val="32"/>
          <w:szCs w:val="32"/>
          <w:highlight w:val="none"/>
          <w:lang w:val="en-US" w:eastAsia="zh-CN"/>
        </w:rPr>
        <w:t>通过人岗相适评估的拟</w:t>
      </w:r>
      <w:r>
        <w:rPr>
          <w:rFonts w:hint="eastAsia" w:ascii="仿宋_GB2312" w:hAnsi="仿宋_GB2312" w:eastAsia="仿宋_GB2312" w:cs="仿宋_GB2312"/>
          <w:color w:val="auto"/>
          <w:sz w:val="32"/>
          <w:szCs w:val="32"/>
          <w:highlight w:val="none"/>
        </w:rPr>
        <w:t>引进人员</w:t>
      </w:r>
      <w:r>
        <w:rPr>
          <w:rFonts w:hint="eastAsia" w:ascii="仿宋_GB2312" w:hAnsi="仿宋_GB2312" w:eastAsia="仿宋_GB2312" w:cs="仿宋_GB2312"/>
          <w:color w:val="auto"/>
          <w:sz w:val="32"/>
          <w:szCs w:val="32"/>
          <w:highlight w:val="none"/>
          <w:lang w:val="en-US" w:eastAsia="zh-CN"/>
        </w:rPr>
        <w:t>在5个工作日内提交复审材料及本人人</w:t>
      </w:r>
      <w:r>
        <w:rPr>
          <w:rFonts w:hint="eastAsia" w:ascii="仿宋_GB2312" w:hAnsi="仿宋_GB2312" w:eastAsia="仿宋_GB2312" w:cs="仿宋_GB2312"/>
          <w:color w:val="auto"/>
          <w:sz w:val="32"/>
          <w:szCs w:val="32"/>
          <w:highlight w:val="none"/>
          <w:u w:val="none"/>
          <w:lang w:val="en-US" w:eastAsia="zh-CN"/>
        </w:rPr>
        <w:t>事档案。</w:t>
      </w:r>
      <w:r>
        <w:rPr>
          <w:rFonts w:hint="eastAsia" w:ascii="仿宋" w:hAnsi="仿宋" w:eastAsia="仿宋"/>
          <w:sz w:val="32"/>
          <w:szCs w:val="32"/>
          <w:highlight w:val="none"/>
          <w:lang w:eastAsia="zh-CN"/>
        </w:rPr>
        <w:t>市人社局对拟引进人员进行资格复审及人事档案审核。</w:t>
      </w:r>
      <w:r>
        <w:rPr>
          <w:rFonts w:hint="eastAsia" w:ascii="仿宋_GB2312" w:hAnsi="仿宋_GB2312" w:eastAsia="仿宋_GB2312" w:cs="仿宋_GB2312"/>
          <w:color w:val="auto"/>
          <w:sz w:val="32"/>
          <w:szCs w:val="32"/>
          <w:highlight w:val="none"/>
          <w:u w:val="none"/>
        </w:rPr>
        <w:t>人事档案审核标准按照《干部人事档案工作条例》执行。</w:t>
      </w:r>
      <w:r>
        <w:rPr>
          <w:rFonts w:hint="eastAsia" w:ascii="仿宋_GB2312" w:hAnsi="仿宋_GB2312" w:eastAsia="仿宋_GB2312" w:cs="仿宋_GB2312"/>
          <w:color w:val="auto"/>
          <w:sz w:val="32"/>
          <w:szCs w:val="32"/>
          <w:highlight w:val="none"/>
          <w:u w:val="none"/>
          <w:lang w:val="en-US" w:eastAsia="zh-CN"/>
        </w:rPr>
        <w:t>经</w:t>
      </w:r>
      <w:r>
        <w:rPr>
          <w:rFonts w:hint="eastAsia" w:ascii="仿宋_GB2312" w:hAnsi="仿宋_GB2312" w:eastAsia="仿宋_GB2312" w:cs="仿宋_GB2312"/>
          <w:color w:val="auto"/>
          <w:sz w:val="32"/>
          <w:szCs w:val="32"/>
          <w:highlight w:val="none"/>
          <w:u w:val="none"/>
        </w:rPr>
        <w:t>资格复审及人事档案审核不合格</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，取</w:t>
      </w:r>
      <w:r>
        <w:rPr>
          <w:rFonts w:hint="eastAsia" w:ascii="仿宋_GB2312" w:hAnsi="仿宋_GB2312" w:eastAsia="仿宋_GB2312" w:cs="仿宋_GB2312"/>
          <w:color w:val="auto"/>
          <w:sz w:val="32"/>
          <w:szCs w:val="32"/>
          <w:highlight w:val="none"/>
        </w:rPr>
        <w:t>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bookmarkEnd w:id="3"/>
    <w:bookmarkEnd w:id="7"/>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8" w:name="OLE_LINK9"/>
      <w:r>
        <w:rPr>
          <w:rFonts w:hint="eastAsia" w:ascii="楷体_GB2312" w:hAnsi="楷体_GB2312" w:eastAsia="楷体_GB2312" w:cs="楷体_GB2312"/>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体检标准参照《公务员录用体检通用标准》执行，费用自理。体检对象或者用人单位对体检结果有疑问的，可以进行复检。复检应在接到体检结论通知之日起7日</w:t>
      </w:r>
      <w:r>
        <w:rPr>
          <w:rFonts w:hint="eastAsia" w:ascii="仿宋_GB2312" w:hAnsi="仿宋_GB2312" w:eastAsia="仿宋_GB2312" w:cs="仿宋_GB2312"/>
          <w:color w:val="auto"/>
          <w:sz w:val="32"/>
          <w:szCs w:val="32"/>
          <w:u w:val="none"/>
        </w:rPr>
        <w:t>内</w:t>
      </w:r>
      <w:r>
        <w:rPr>
          <w:rFonts w:hint="eastAsia" w:ascii="仿宋_GB2312" w:hAnsi="仿宋_GB2312" w:eastAsia="仿宋_GB2312" w:cs="仿宋_GB2312"/>
          <w:color w:val="auto"/>
          <w:sz w:val="32"/>
          <w:szCs w:val="32"/>
          <w:u w:val="none"/>
          <w:lang w:val="en-US" w:eastAsia="zh-CN"/>
        </w:rPr>
        <w:t>向</w:t>
      </w:r>
      <w:r>
        <w:rPr>
          <w:rFonts w:hint="eastAsia" w:ascii="仿宋_GB2312" w:hAnsi="仿宋_GB2312" w:eastAsia="仿宋_GB2312" w:cs="仿宋_GB2312"/>
          <w:color w:val="auto"/>
          <w:sz w:val="32"/>
          <w:szCs w:val="32"/>
          <w:highlight w:val="none"/>
          <w:u w:val="none"/>
          <w:lang w:val="en-US" w:eastAsia="zh-CN"/>
        </w:rPr>
        <w:t>满洲里市人社局</w:t>
      </w:r>
      <w:r>
        <w:rPr>
          <w:rFonts w:hint="eastAsia" w:ascii="仿宋_GB2312" w:hAnsi="仿宋_GB2312" w:eastAsia="仿宋_GB2312" w:cs="仿宋_GB2312"/>
          <w:color w:val="auto"/>
          <w:sz w:val="32"/>
          <w:szCs w:val="32"/>
          <w:u w:val="none"/>
        </w:rPr>
        <w:t>提</w:t>
      </w:r>
      <w:r>
        <w:rPr>
          <w:rFonts w:hint="eastAsia" w:ascii="仿宋_GB2312" w:hAnsi="仿宋_GB2312" w:eastAsia="仿宋_GB2312" w:cs="仿宋_GB2312"/>
          <w:color w:val="auto"/>
          <w:sz w:val="32"/>
          <w:szCs w:val="32"/>
          <w:u w:val="none"/>
          <w:lang w:val="en-US" w:eastAsia="zh-CN"/>
        </w:rPr>
        <w:t>交复检申请</w:t>
      </w:r>
      <w:r>
        <w:rPr>
          <w:rFonts w:hint="eastAsia" w:ascii="仿宋_GB2312" w:hAnsi="仿宋_GB2312" w:eastAsia="仿宋_GB2312" w:cs="仿宋_GB2312"/>
          <w:color w:val="auto"/>
          <w:sz w:val="32"/>
          <w:szCs w:val="32"/>
          <w:u w:val="none"/>
        </w:rPr>
        <w:t>，复检只能进行一次，费用自理，体</w:t>
      </w:r>
      <w:r>
        <w:rPr>
          <w:rFonts w:hint="eastAsia" w:ascii="仿宋_GB2312" w:hAnsi="仿宋_GB2312" w:eastAsia="仿宋_GB2312" w:cs="仿宋_GB2312"/>
          <w:color w:val="auto"/>
          <w:sz w:val="32"/>
          <w:szCs w:val="32"/>
        </w:rPr>
        <w:t>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（二）考察</w:t>
      </w:r>
    </w:p>
    <w:p>
      <w:pPr>
        <w:pStyle w:val="4"/>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_GB2312" w:hAnsi="仿宋_GB2312" w:eastAsia="仿宋_GB2312" w:cs="仿宋_GB2312"/>
          <w:color w:val="auto"/>
          <w:sz w:val="32"/>
          <w:szCs w:val="32"/>
          <w:u w:val="none"/>
          <w:lang w:val="en-US" w:eastAsia="zh-CN"/>
        </w:rPr>
        <w:t>考察工作由满洲里市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color w:val="auto"/>
          <w:sz w:val="32"/>
          <w:szCs w:val="32"/>
          <w:u w:val="none"/>
          <w:lang w:val="en-US" w:eastAsia="zh-CN"/>
        </w:rPr>
        <w:t>人才引进工作领导小组负责组织实施。</w:t>
      </w:r>
      <w:r>
        <w:rPr>
          <w:rFonts w:hint="eastAsia" w:ascii="仿宋_GB2312" w:hAnsi="仿宋_GB2312" w:eastAsia="仿宋_GB2312" w:cs="仿宋_GB2312"/>
          <w:color w:val="auto"/>
          <w:sz w:val="32"/>
          <w:szCs w:val="32"/>
          <w:u w:val="none"/>
        </w:rPr>
        <w:t>考察工作突出政治标准，重点考察引进人员是否符合拥护“两个确立”、增强“四个意识”、坚定“四个自信”、做到“两个维护”，是否牢记“三个离不开”、切实增强“五个认同”</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是否“铸牢中华民族共同体意识”</w:t>
      </w:r>
      <w:r>
        <w:rPr>
          <w:rFonts w:hint="eastAsia" w:ascii="仿宋_GB2312" w:hAnsi="仿宋_GB2312" w:eastAsia="仿宋_GB2312" w:cs="仿宋_GB2312"/>
          <w:color w:val="auto"/>
          <w:sz w:val="32"/>
          <w:szCs w:val="32"/>
          <w:u w:val="none"/>
        </w:rPr>
        <w:t>等政治要求，坚决把政治上不合格的挡在门外。考察</w:t>
      </w:r>
      <w:r>
        <w:rPr>
          <w:rFonts w:hint="eastAsia" w:ascii="仿宋_GB2312" w:hAnsi="仿宋_GB2312" w:eastAsia="仿宋_GB2312" w:cs="仿宋_GB2312"/>
          <w:color w:val="auto"/>
          <w:sz w:val="32"/>
          <w:szCs w:val="32"/>
          <w:u w:val="none"/>
          <w:lang w:val="en-US" w:eastAsia="zh-CN"/>
        </w:rPr>
        <w:t>内容主要包括</w:t>
      </w:r>
      <w:r>
        <w:rPr>
          <w:rFonts w:hint="eastAsia" w:ascii="仿宋_GB2312" w:hAnsi="仿宋_GB2312" w:eastAsia="仿宋_GB2312" w:cs="仿宋_GB2312"/>
          <w:color w:val="auto"/>
          <w:sz w:val="32"/>
          <w:szCs w:val="32"/>
          <w:u w:val="none"/>
        </w:rPr>
        <w:t>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w:t>
      </w:r>
      <w:r>
        <w:rPr>
          <w:rFonts w:hint="eastAsia" w:ascii="仿宋" w:hAnsi="仿宋" w:eastAsia="仿宋" w:cs="仿宋_GB2312"/>
          <w:sz w:val="32"/>
          <w:szCs w:val="32"/>
          <w:u w:val="none"/>
          <w:lang w:eastAsia="zh-CN"/>
        </w:rPr>
        <w:t>征求相关部门单位意见、</w:t>
      </w:r>
      <w:r>
        <w:rPr>
          <w:rFonts w:hint="eastAsia" w:ascii="仿宋_GB2312" w:hAnsi="仿宋_GB2312" w:eastAsia="仿宋_GB2312" w:cs="仿宋_GB2312"/>
          <w:i w:val="0"/>
          <w:iCs w:val="0"/>
          <w:caps w:val="0"/>
          <w:color w:val="auto"/>
          <w:spacing w:val="0"/>
          <w:kern w:val="0"/>
          <w:sz w:val="32"/>
          <w:szCs w:val="32"/>
          <w:u w:val="none"/>
          <w:lang w:val="en-US" w:eastAsia="zh-CN" w:bidi="ar"/>
        </w:rPr>
        <w:t>查询社会信用记录、同引进人员面谈等方式，并形成具体的考察结论。</w:t>
      </w:r>
    </w:p>
    <w:bookmarkEnd w:id="8"/>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9" w:name="OLE_LINK10"/>
      <w:r>
        <w:rPr>
          <w:rFonts w:hint="eastAsia" w:ascii="楷体_GB2312" w:hAnsi="楷体_GB2312" w:eastAsia="楷体_GB2312" w:cs="楷体_GB2312"/>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highlight w:val="none"/>
        </w:rPr>
        <w:t>根据人岗相适评估、资格复审及档案审核、体检考察等结果召开</w:t>
      </w:r>
      <w:r>
        <w:rPr>
          <w:rFonts w:hint="eastAsia" w:ascii="仿宋" w:hAnsi="仿宋" w:eastAsia="仿宋" w:cs="仿宋_GB2312"/>
          <w:sz w:val="32"/>
          <w:szCs w:val="32"/>
          <w:highlight w:val="none"/>
          <w:lang w:eastAsia="zh-CN"/>
        </w:rPr>
        <w:t>党组</w:t>
      </w:r>
      <w:r>
        <w:rPr>
          <w:rFonts w:hint="eastAsia" w:ascii="仿宋" w:hAnsi="仿宋" w:eastAsia="仿宋" w:cs="仿宋_GB2312"/>
          <w:sz w:val="32"/>
          <w:szCs w:val="32"/>
          <w:highlight w:val="none"/>
        </w:rPr>
        <w:t>会议研究确定拟引进人员，</w:t>
      </w:r>
      <w:r>
        <w:rPr>
          <w:rFonts w:hint="eastAsia" w:ascii="仿宋" w:hAnsi="仿宋" w:eastAsia="仿宋" w:cs="仿宋_GB2312"/>
          <w:sz w:val="32"/>
          <w:szCs w:val="32"/>
          <w:highlight w:val="none"/>
          <w:u w:val="none"/>
        </w:rPr>
        <w:t>报</w:t>
      </w:r>
      <w:r>
        <w:rPr>
          <w:rFonts w:hint="eastAsia" w:ascii="仿宋" w:hAnsi="仿宋" w:eastAsia="仿宋" w:cs="仿宋_GB2312"/>
          <w:sz w:val="32"/>
          <w:szCs w:val="32"/>
          <w:highlight w:val="none"/>
          <w:u w:val="none"/>
          <w:lang w:eastAsia="zh-CN"/>
        </w:rPr>
        <w:t>市人社局审核</w:t>
      </w:r>
      <w:r>
        <w:rPr>
          <w:rFonts w:hint="eastAsia" w:ascii="仿宋" w:hAnsi="仿宋" w:eastAsia="仿宋" w:cs="仿宋_GB2312"/>
          <w:sz w:val="32"/>
          <w:szCs w:val="32"/>
          <w:highlight w:val="none"/>
          <w:u w:val="none"/>
        </w:rPr>
        <w:t>，经</w:t>
      </w:r>
      <w:r>
        <w:rPr>
          <w:rFonts w:hint="eastAsia" w:ascii="仿宋" w:hAnsi="仿宋" w:eastAsia="仿宋" w:cs="仿宋_GB2312"/>
          <w:sz w:val="32"/>
          <w:szCs w:val="32"/>
          <w:highlight w:val="none"/>
          <w:u w:val="none"/>
          <w:lang w:eastAsia="zh-CN"/>
        </w:rPr>
        <w:t>市人社局党组</w:t>
      </w:r>
      <w:r>
        <w:rPr>
          <w:rFonts w:hint="eastAsia" w:ascii="仿宋" w:hAnsi="仿宋" w:eastAsia="仿宋" w:cs="仿宋_GB2312"/>
          <w:sz w:val="32"/>
          <w:szCs w:val="32"/>
          <w:highlight w:val="none"/>
          <w:u w:val="none"/>
        </w:rPr>
        <w:t>会议审</w:t>
      </w:r>
      <w:r>
        <w:rPr>
          <w:rFonts w:hint="eastAsia" w:ascii="仿宋" w:hAnsi="仿宋" w:eastAsia="仿宋" w:cs="仿宋_GB2312"/>
          <w:sz w:val="32"/>
          <w:szCs w:val="32"/>
          <w:highlight w:val="none"/>
          <w:u w:val="none"/>
          <w:lang w:eastAsia="zh-CN"/>
        </w:rPr>
        <w:t>议</w:t>
      </w:r>
      <w:r>
        <w:rPr>
          <w:rFonts w:hint="eastAsia" w:ascii="仿宋" w:hAnsi="仿宋" w:eastAsia="仿宋" w:cs="仿宋_GB2312"/>
          <w:sz w:val="32"/>
          <w:szCs w:val="32"/>
          <w:highlight w:val="none"/>
          <w:u w:val="none"/>
        </w:rPr>
        <w:t>通过</w:t>
      </w:r>
      <w:r>
        <w:rPr>
          <w:rFonts w:hint="eastAsia" w:ascii="仿宋" w:hAnsi="仿宋" w:eastAsia="仿宋" w:cs="仿宋_GB2312"/>
          <w:sz w:val="32"/>
          <w:szCs w:val="32"/>
          <w:highlight w:val="none"/>
          <w:u w:val="none"/>
          <w:lang w:eastAsia="zh-CN"/>
        </w:rPr>
        <w:t>后，对拟引进人员</w:t>
      </w:r>
      <w:r>
        <w:rPr>
          <w:rFonts w:hint="eastAsia" w:ascii="仿宋" w:hAnsi="仿宋" w:eastAsia="仿宋" w:cs="仿宋_GB2312"/>
          <w:sz w:val="32"/>
          <w:szCs w:val="32"/>
          <w:highlight w:val="none"/>
          <w:u w:val="none"/>
        </w:rPr>
        <w:t>在满洲里市人民政府网站进行公示，</w:t>
      </w:r>
      <w:r>
        <w:rPr>
          <w:rFonts w:hint="eastAsia" w:ascii="仿宋" w:hAnsi="仿宋" w:eastAsia="仿宋" w:cs="仿宋_GB2312"/>
          <w:sz w:val="32"/>
          <w:szCs w:val="32"/>
        </w:rPr>
        <w:t>公示期间接受社会监督举报，公示期不少于5个工作日。</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（二）聘用</w:t>
      </w:r>
    </w:p>
    <w:p>
      <w:pPr>
        <w:spacing w:line="560" w:lineRule="exact"/>
        <w:ind w:firstLine="640" w:firstLineChars="200"/>
        <w:rPr>
          <w:rFonts w:ascii="仿宋_GB2312" w:eastAsia="仿宋_GB2312"/>
          <w:sz w:val="32"/>
          <w:szCs w:val="32"/>
          <w:u w:val="none"/>
        </w:rPr>
      </w:pPr>
      <w:r>
        <w:rPr>
          <w:rFonts w:hint="eastAsia" w:ascii="仿宋" w:hAnsi="仿宋" w:eastAsia="仿宋" w:cs="仿宋_GB2312"/>
          <w:sz w:val="32"/>
          <w:szCs w:val="32"/>
        </w:rPr>
        <w:t>公示期内，对反映有问题的，经</w:t>
      </w:r>
      <w:r>
        <w:rPr>
          <w:rFonts w:hint="eastAsia" w:ascii="仿宋" w:hAnsi="仿宋" w:eastAsia="仿宋" w:cs="仿宋_GB2312"/>
          <w:sz w:val="32"/>
          <w:szCs w:val="32"/>
          <w:highlight w:val="none"/>
          <w:lang w:val="en-US" w:eastAsia="zh-CN"/>
        </w:rPr>
        <w:t>市发改委</w:t>
      </w:r>
      <w:r>
        <w:rPr>
          <w:rFonts w:hint="eastAsia" w:ascii="仿宋" w:hAnsi="仿宋" w:eastAsia="仿宋" w:cs="仿宋_GB2312"/>
          <w:sz w:val="32"/>
          <w:szCs w:val="32"/>
          <w:highlight w:val="none"/>
          <w:u w:val="none"/>
        </w:rPr>
        <w:t>查</w:t>
      </w:r>
      <w:r>
        <w:rPr>
          <w:rFonts w:hint="eastAsia" w:ascii="仿宋" w:hAnsi="仿宋" w:eastAsia="仿宋" w:cs="仿宋_GB2312"/>
          <w:sz w:val="32"/>
          <w:szCs w:val="32"/>
          <w:u w:val="none"/>
        </w:rPr>
        <w:t>有实据且影响引进的</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提交市人社局党组会审核后</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取消引进资格</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公示期满没有问题和反映问题不影响引进的</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由</w:t>
      </w:r>
      <w:r>
        <w:rPr>
          <w:rFonts w:hint="eastAsia" w:ascii="仿宋" w:hAnsi="仿宋" w:eastAsia="仿宋" w:cs="仿宋_GB2312"/>
          <w:sz w:val="32"/>
          <w:szCs w:val="32"/>
          <w:u w:val="none"/>
          <w:lang w:eastAsia="zh-CN"/>
        </w:rPr>
        <w:t>市人社局</w:t>
      </w:r>
      <w:r>
        <w:rPr>
          <w:rFonts w:hint="eastAsia" w:ascii="仿宋" w:hAnsi="仿宋" w:eastAsia="仿宋" w:cs="仿宋_GB2312"/>
          <w:sz w:val="32"/>
          <w:szCs w:val="32"/>
          <w:u w:val="none"/>
        </w:rPr>
        <w:t>下发引进通知</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市委编办根据引进通知将引进人员纳入编制管理</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用人单位为引进人员办理引进手续</w:t>
      </w:r>
      <w:r>
        <w:rPr>
          <w:rFonts w:hint="eastAsia" w:ascii="仿宋" w:hAnsi="仿宋" w:eastAsia="仿宋" w:cs="仿宋_GB2312"/>
          <w:sz w:val="32"/>
          <w:szCs w:val="32"/>
          <w:u w:val="none"/>
          <w:lang w:eastAsia="zh-CN"/>
        </w:rPr>
        <w:t>。</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（三）试用期及服务期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w:t>
      </w:r>
      <w:r>
        <w:rPr>
          <w:rFonts w:hint="eastAsia" w:ascii="仿宋" w:hAnsi="仿宋" w:eastAsia="仿宋" w:cs="仿宋_GB2312"/>
          <w:sz w:val="32"/>
          <w:szCs w:val="32"/>
          <w:u w:val="none"/>
        </w:rPr>
        <w:t>经</w:t>
      </w:r>
      <w:r>
        <w:rPr>
          <w:rFonts w:hint="eastAsia" w:ascii="仿宋" w:hAnsi="仿宋" w:eastAsia="仿宋" w:cs="仿宋_GB2312"/>
          <w:sz w:val="32"/>
          <w:szCs w:val="32"/>
          <w:highlight w:val="none"/>
          <w:u w:val="none"/>
          <w:lang w:val="en-US" w:eastAsia="zh-CN"/>
        </w:rPr>
        <w:t>市发改委</w:t>
      </w:r>
      <w:r>
        <w:rPr>
          <w:rFonts w:hint="eastAsia" w:ascii="仿宋" w:hAnsi="仿宋" w:eastAsia="仿宋" w:cs="仿宋_GB2312"/>
          <w:sz w:val="32"/>
          <w:szCs w:val="32"/>
          <w:u w:val="none"/>
        </w:rPr>
        <w:t>党组研究并报</w:t>
      </w:r>
      <w:r>
        <w:rPr>
          <w:rFonts w:hint="eastAsia" w:ascii="仿宋" w:hAnsi="仿宋" w:eastAsia="仿宋" w:cs="仿宋_GB2312"/>
          <w:sz w:val="32"/>
          <w:szCs w:val="32"/>
          <w:u w:val="none"/>
          <w:lang w:eastAsia="zh-CN"/>
        </w:rPr>
        <w:t>市人社局</w:t>
      </w:r>
      <w:r>
        <w:rPr>
          <w:rFonts w:hint="eastAsia" w:ascii="仿宋" w:hAnsi="仿宋" w:eastAsia="仿宋" w:cs="仿宋_GB2312"/>
          <w:sz w:val="32"/>
          <w:szCs w:val="32"/>
          <w:u w:val="none"/>
        </w:rPr>
        <w:t>备案后</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可以延长，但最长不得超过6个月。试用期结束后，</w:t>
      </w:r>
      <w:r>
        <w:rPr>
          <w:rFonts w:hint="eastAsia" w:ascii="仿宋" w:hAnsi="仿宋" w:eastAsia="仿宋" w:cs="仿宋_GB2312"/>
          <w:sz w:val="32"/>
          <w:szCs w:val="32"/>
          <w:highlight w:val="none"/>
          <w:u w:val="none"/>
          <w:lang w:val="en-US" w:eastAsia="zh-CN"/>
        </w:rPr>
        <w:t>市发改委</w:t>
      </w:r>
      <w:r>
        <w:rPr>
          <w:rFonts w:hint="eastAsia" w:ascii="仿宋" w:hAnsi="仿宋" w:eastAsia="仿宋" w:cs="仿宋_GB2312"/>
          <w:sz w:val="32"/>
          <w:szCs w:val="32"/>
        </w:rPr>
        <w:t>对引进人员进行考核</w:t>
      </w:r>
      <w:r>
        <w:rPr>
          <w:rFonts w:hint="eastAsia" w:ascii="仿宋" w:hAnsi="仿宋" w:eastAsia="仿宋" w:cs="仿宋_GB2312"/>
          <w:sz w:val="32"/>
          <w:szCs w:val="32"/>
          <w:lang w:eastAsia="zh-CN"/>
        </w:rPr>
        <w:t>，考核结果报市人社局备案</w:t>
      </w:r>
      <w:r>
        <w:rPr>
          <w:rFonts w:hint="eastAsia" w:ascii="仿宋" w:hAnsi="仿宋" w:eastAsia="仿宋" w:cs="仿宋_GB2312"/>
          <w:sz w:val="32"/>
          <w:szCs w:val="32"/>
        </w:rPr>
        <w:t>。考核合格的，予以正式聘用；考核不合格的，办理解聘手续。</w:t>
      </w:r>
    </w:p>
    <w:p>
      <w:pPr>
        <w:spacing w:line="560" w:lineRule="exact"/>
        <w:ind w:firstLine="640" w:firstLineChars="200"/>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s="仿宋_GB2312"/>
          <w:sz w:val="32"/>
          <w:szCs w:val="32"/>
        </w:rPr>
        <w:t>引进人员在满洲里市最低工作服务年限为五年。对无正当理由不履行最低工作服务年限的，将记入本人</w:t>
      </w:r>
      <w:r>
        <w:rPr>
          <w:rFonts w:hint="eastAsia" w:ascii="仿宋" w:hAnsi="仿宋" w:eastAsia="仿宋" w:cs="仿宋_GB2312"/>
          <w:sz w:val="32"/>
          <w:szCs w:val="32"/>
          <w:u w:val="none"/>
          <w:lang w:eastAsia="zh-CN"/>
        </w:rPr>
        <w:t>干部人事档案</w:t>
      </w:r>
      <w:r>
        <w:rPr>
          <w:rFonts w:hint="eastAsia" w:ascii="仿宋_GB2312" w:hAnsi="仿宋_GB2312" w:eastAsia="仿宋_GB2312" w:cs="仿宋_GB2312"/>
          <w:i w:val="0"/>
          <w:iCs w:val="0"/>
          <w:caps w:val="0"/>
          <w:color w:val="auto"/>
          <w:spacing w:val="0"/>
          <w:kern w:val="0"/>
          <w:sz w:val="32"/>
          <w:szCs w:val="32"/>
          <w:u w:val="none"/>
          <w:lang w:val="en-US" w:eastAsia="zh-CN" w:bidi="ar"/>
        </w:rPr>
        <w:t>并追缴</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回</w:t>
      </w:r>
      <w:r>
        <w:rPr>
          <w:rFonts w:hint="eastAsia" w:ascii="仿宋_GB2312" w:hAnsi="仿宋_GB2312" w:eastAsia="仿宋_GB2312" w:cs="仿宋_GB2312"/>
          <w:i w:val="0"/>
          <w:iCs w:val="0"/>
          <w:caps w:val="0"/>
          <w:color w:val="auto"/>
          <w:spacing w:val="0"/>
          <w:kern w:val="0"/>
          <w:sz w:val="32"/>
          <w:szCs w:val="32"/>
          <w:u w:val="none"/>
          <w:lang w:val="en-US" w:eastAsia="zh-CN" w:bidi="ar"/>
        </w:rPr>
        <w:t>相应补贴资金。</w:t>
      </w:r>
    </w:p>
    <w:bookmarkEnd w:id="9"/>
    <w:p>
      <w:pPr>
        <w:keepNext w:val="0"/>
        <w:keepLines w:val="0"/>
        <w:pageBreakBefore w:val="0"/>
        <w:widowControl w:val="0"/>
        <w:numPr>
          <w:ilvl w:val="0"/>
          <w:numId w:val="1"/>
        </w:numPr>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纪律和监督</w:t>
      </w:r>
      <w:bookmarkStart w:id="10" w:name="OLE_LINK13"/>
      <w:bookmarkStart w:id="11" w:name="OLE_LINK11"/>
    </w:p>
    <w:p>
      <w:pPr>
        <w:spacing w:line="560" w:lineRule="exact"/>
        <w:ind w:firstLine="642" w:firstLineChars="200"/>
        <w:rPr>
          <w:rFonts w:hint="eastAsia" w:ascii="仿宋" w:hAnsi="仿宋" w:eastAsia="仿宋"/>
          <w:sz w:val="32"/>
          <w:szCs w:val="32"/>
        </w:rPr>
      </w:pPr>
      <w:r>
        <w:rPr>
          <w:rFonts w:hint="eastAsia" w:ascii="楷体_GB2312" w:hAnsi="楷体_GB2312" w:eastAsia="楷体_GB2312" w:cs="楷体_GB2312"/>
          <w:b/>
          <w:bCs/>
          <w:color w:val="auto"/>
          <w:sz w:val="32"/>
          <w:szCs w:val="32"/>
        </w:rPr>
        <w:t>（一）</w:t>
      </w:r>
      <w:r>
        <w:rPr>
          <w:rFonts w:hint="eastAsia" w:ascii="楷体" w:hAnsi="楷体" w:eastAsia="楷体" w:cs="仿宋_GB2312"/>
          <w:b/>
          <w:sz w:val="32"/>
          <w:szCs w:val="32"/>
        </w:rPr>
        <w:t>岗位回避。</w:t>
      </w:r>
      <w:r>
        <w:rPr>
          <w:rFonts w:hint="eastAsia" w:ascii="仿宋" w:hAnsi="仿宋" w:eastAsia="仿宋"/>
          <w:sz w:val="32"/>
          <w:szCs w:val="32"/>
        </w:rPr>
        <w:t>报名人员凡与</w:t>
      </w:r>
      <w:r>
        <w:rPr>
          <w:rFonts w:hint="eastAsia" w:ascii="仿宋" w:hAnsi="仿宋" w:eastAsia="仿宋"/>
          <w:sz w:val="32"/>
          <w:szCs w:val="32"/>
          <w:lang w:eastAsia="zh-CN"/>
        </w:rPr>
        <w:t>市</w:t>
      </w:r>
      <w:r>
        <w:rPr>
          <w:rFonts w:hint="eastAsia" w:ascii="仿宋" w:hAnsi="仿宋" w:eastAsia="仿宋"/>
          <w:sz w:val="32"/>
          <w:szCs w:val="32"/>
          <w:lang w:val="en-US" w:eastAsia="zh-CN"/>
        </w:rPr>
        <w:t>发改委及所属事业单位</w:t>
      </w:r>
      <w:r>
        <w:rPr>
          <w:rFonts w:hint="eastAsia" w:ascii="仿宋" w:hAnsi="仿宋" w:eastAsia="仿宋"/>
          <w:sz w:val="32"/>
          <w:szCs w:val="32"/>
        </w:rPr>
        <w:t>班子成员有夫妻关系、直系血亲关系、三代以内旁系血亲关系或者近姻亲等关系的,不得报名具有直接上下级领导关系的岗位,以及该单位从事组织人事、纪检监察、审计、财务工作的岗位,并须签订《回避承诺书》。</w:t>
      </w:r>
    </w:p>
    <w:p>
      <w:pPr>
        <w:spacing w:line="560" w:lineRule="exact"/>
        <w:ind w:firstLine="642" w:firstLineChars="200"/>
        <w:rPr>
          <w:rFonts w:ascii="仿宋" w:hAnsi="仿宋" w:eastAsia="仿宋" w:cs="仿宋_GB2312"/>
          <w:sz w:val="32"/>
          <w:szCs w:val="32"/>
        </w:rPr>
      </w:pPr>
      <w:r>
        <w:rPr>
          <w:rFonts w:hint="eastAsia" w:ascii="楷体" w:hAnsi="楷体" w:eastAsia="楷体" w:cs="仿宋_GB2312"/>
          <w:b/>
          <w:sz w:val="32"/>
          <w:szCs w:val="32"/>
        </w:rPr>
        <w:t>（二）履职回避。</w:t>
      </w:r>
      <w:r>
        <w:rPr>
          <w:rFonts w:hint="eastAsia" w:ascii="仿宋" w:hAnsi="仿宋" w:eastAsia="仿宋"/>
          <w:sz w:val="32"/>
          <w:szCs w:val="32"/>
        </w:rPr>
        <w:t>用人单位及其主管部门参与人才引进的工作人员,凡涉及与拟引进人员本人有上述亲属关系、利害关系的,以及其他可能影响工作公正履行职责的,应当回避。</w:t>
      </w:r>
    </w:p>
    <w:p>
      <w:pPr>
        <w:spacing w:line="560" w:lineRule="exact"/>
        <w:ind w:firstLine="642" w:firstLineChars="200"/>
        <w:rPr>
          <w:rFonts w:hint="eastAsia" w:ascii="仿宋" w:hAnsi="仿宋" w:eastAsia="仿宋"/>
          <w:sz w:val="32"/>
          <w:szCs w:val="32"/>
        </w:rPr>
      </w:pPr>
      <w:r>
        <w:rPr>
          <w:rFonts w:hint="eastAsia" w:ascii="楷体" w:hAnsi="楷体" w:eastAsia="楷体" w:cs="仿宋_GB2312"/>
          <w:b/>
          <w:sz w:val="32"/>
          <w:szCs w:val="32"/>
        </w:rPr>
        <w:t>（三）责任追究。</w:t>
      </w:r>
      <w:r>
        <w:rPr>
          <w:rFonts w:hint="eastAsia" w:ascii="仿宋" w:hAnsi="仿宋" w:eastAsia="仿宋"/>
          <w:sz w:val="32"/>
          <w:szCs w:val="32"/>
        </w:rPr>
        <w:t>人才引进工作全程接受社会监督,一经发现问题线索、信访举报,按有关规定交由相关部门调查、处理和处分</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市发改委党组</w:t>
      </w:r>
      <w:r>
        <w:rPr>
          <w:rFonts w:hint="eastAsia" w:ascii="仿宋" w:hAnsi="仿宋" w:eastAsia="仿宋"/>
          <w:sz w:val="32"/>
          <w:szCs w:val="32"/>
          <w:highlight w:val="none"/>
        </w:rPr>
        <w:t>对</w:t>
      </w:r>
      <w:r>
        <w:rPr>
          <w:rFonts w:hint="eastAsia" w:ascii="仿宋" w:hAnsi="仿宋" w:eastAsia="仿宋"/>
          <w:sz w:val="32"/>
          <w:szCs w:val="32"/>
        </w:rPr>
        <w:t>引才工作负全面领导责任,领导班子主要负责人和直接主管的班子成员承担主要领导责任,参与决策的领导班子其他成员承担领导责任。</w:t>
      </w:r>
      <w:r>
        <w:rPr>
          <w:rFonts w:hint="eastAsia" w:ascii="仿宋" w:hAnsi="仿宋" w:eastAsia="仿宋"/>
          <w:color w:val="000000" w:themeColor="text1"/>
          <w:sz w:val="32"/>
          <w:szCs w:val="32"/>
          <w:u w:val="none"/>
          <w:lang w:eastAsia="zh-CN"/>
          <w14:textFill>
            <w14:solidFill>
              <w14:schemeClr w14:val="tx1"/>
            </w14:solidFill>
          </w14:textFill>
        </w:rPr>
        <w:t>市人社局</w:t>
      </w:r>
      <w:r>
        <w:rPr>
          <w:rFonts w:hint="eastAsia" w:ascii="仿宋" w:hAnsi="仿宋" w:eastAsia="仿宋"/>
          <w:sz w:val="32"/>
          <w:szCs w:val="32"/>
        </w:rPr>
        <w:t>、评估考核组有关负责人和其他责任人员在各自职责范围内承担相应责任。对违反引才工作有关规定和纪律要求的引进人员,一经查实,取消引进资格或解除聘用合同;对违反引才工作有关规定的领导干部和相关责任人员,视问题性质和情节轻重,给予组织处理或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报名咨询电话：</w:t>
      </w:r>
      <w:r>
        <w:rPr>
          <w:rFonts w:hint="eastAsia" w:ascii="仿宋_GB2312" w:hAnsi="仿宋_GB2312" w:eastAsia="仿宋_GB2312" w:cs="仿宋_GB2312"/>
          <w:color w:val="auto"/>
          <w:sz w:val="32"/>
          <w:szCs w:val="32"/>
          <w:highlight w:val="none"/>
          <w:lang w:val="en-US" w:eastAsia="zh-CN"/>
        </w:rPr>
        <w:t>0470-6262241</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监督举报电话：</w:t>
      </w:r>
      <w:r>
        <w:rPr>
          <w:rFonts w:hint="eastAsia" w:ascii="仿宋_GB2312" w:hAnsi="仿宋_GB2312" w:eastAsia="仿宋_GB2312" w:cs="仿宋_GB2312"/>
          <w:color w:val="auto"/>
          <w:sz w:val="32"/>
          <w:szCs w:val="32"/>
          <w:highlight w:val="none"/>
          <w:lang w:val="en-US" w:eastAsia="zh-CN"/>
        </w:rPr>
        <w:t>0470-6265866</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电话受理时间：上午9:00-12:00</w:t>
      </w:r>
      <w:r>
        <w:rPr>
          <w:rFonts w:hint="eastAsia" w:ascii="仿宋_GB2312" w:hAnsi="仿宋_GB2312" w:eastAsia="仿宋_GB2312" w:cs="仿宋_GB2312"/>
          <w:color w:val="auto"/>
          <w:sz w:val="32"/>
          <w:szCs w:val="32"/>
          <w:highlight w:val="none"/>
          <w:lang w:val="en-US" w:eastAsia="zh-CN"/>
        </w:rPr>
        <w:t xml:space="preserve"> 14:</w:t>
      </w:r>
      <w:r>
        <w:rPr>
          <w:rFonts w:hint="eastAsia" w:ascii="仿宋_GB2312" w:hAnsi="仿宋_GB2312" w:eastAsia="仿宋_GB2312" w:cs="仿宋_GB2312"/>
          <w:color w:val="auto"/>
          <w:sz w:val="32"/>
          <w:szCs w:val="32"/>
          <w:highlight w:val="none"/>
        </w:rPr>
        <w:t>30-17:3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（工作日）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本公告</w:t>
      </w:r>
      <w:r>
        <w:rPr>
          <w:rFonts w:hint="eastAsia" w:ascii="仿宋_GB2312" w:hAnsi="仿宋_GB2312" w:eastAsia="仿宋_GB2312" w:cs="仿宋_GB2312"/>
          <w:color w:val="auto"/>
          <w:sz w:val="32"/>
          <w:szCs w:val="32"/>
          <w:highlight w:val="none"/>
        </w:rPr>
        <w:t>由满洲里市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color w:val="auto"/>
          <w:sz w:val="32"/>
          <w:szCs w:val="32"/>
        </w:rPr>
        <w:t>人才引进工作领导小组负责解释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未尽事宜</w:t>
      </w:r>
      <w:r>
        <w:rPr>
          <w:rFonts w:hint="eastAsia" w:ascii="仿宋_GB2312" w:hAnsi="仿宋_GB2312" w:eastAsia="仿宋_GB2312" w:cs="仿宋_GB2312"/>
          <w:color w:val="auto"/>
          <w:sz w:val="32"/>
          <w:szCs w:val="32"/>
          <w:lang w:val="en-US" w:eastAsia="zh-CN"/>
        </w:rPr>
        <w:t>按有关规定执行</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left="1852" w:leftChars="305" w:hanging="1212" w:hangingChars="37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年满洲里市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sz w:val="32"/>
          <w:szCs w:val="32"/>
          <w:highlight w:val="none"/>
        </w:rPr>
        <w:t>所属事业单位人才引进</w:t>
      </w:r>
      <w:r>
        <w:rPr>
          <w:rFonts w:hint="eastAsia" w:ascii="仿宋_GB2312" w:hAnsi="仿宋_GB2312" w:eastAsia="仿宋_GB2312" w:cs="仿宋_GB2312"/>
          <w:sz w:val="32"/>
          <w:szCs w:val="32"/>
          <w:highlight w:val="none"/>
          <w:lang w:val="en-US" w:eastAsia="zh-CN"/>
        </w:rPr>
        <w:t>岗位</w:t>
      </w:r>
      <w:r>
        <w:rPr>
          <w:rFonts w:hint="eastAsia" w:ascii="仿宋_GB2312" w:hAnsi="仿宋_GB2312" w:eastAsia="仿宋_GB2312" w:cs="仿宋_GB2312"/>
          <w:sz w:val="32"/>
          <w:szCs w:val="32"/>
          <w:highlight w:val="none"/>
        </w:rPr>
        <w:t>需求表</w:t>
      </w:r>
    </w:p>
    <w:p>
      <w:pPr>
        <w:keepNext w:val="0"/>
        <w:keepLines w:val="0"/>
        <w:pageBreakBefore w:val="0"/>
        <w:widowControl w:val="0"/>
        <w:kinsoku/>
        <w:overflowPunct/>
        <w:topLinePunct w:val="0"/>
        <w:autoSpaceDE/>
        <w:autoSpaceDN/>
        <w:bidi w:val="0"/>
        <w:adjustRightInd/>
        <w:spacing w:line="540" w:lineRule="exact"/>
        <w:ind w:left="1907" w:leftChars="782" w:hanging="265" w:hangingChars="8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color w:val="auto"/>
          <w:sz w:val="32"/>
          <w:szCs w:val="32"/>
        </w:rPr>
        <w:t>所属事业单位人才引进报名表</w:t>
      </w:r>
    </w:p>
    <w:p>
      <w:pPr>
        <w:keepNext w:val="0"/>
        <w:keepLines w:val="0"/>
        <w:pageBreakBefore w:val="0"/>
        <w:widowControl w:val="0"/>
        <w:kinsoku/>
        <w:overflowPunct/>
        <w:topLinePunct w:val="0"/>
        <w:autoSpaceDE/>
        <w:autoSpaceDN/>
        <w:bidi w:val="0"/>
        <w:adjustRightInd/>
        <w:spacing w:line="540" w:lineRule="exact"/>
        <w:ind w:left="640" w:leftChars="305" w:firstLine="960" w:firstLineChars="3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无不得引进情形承诺书</w:t>
      </w:r>
    </w:p>
    <w:p>
      <w:pPr>
        <w:keepNext w:val="0"/>
        <w:keepLines w:val="0"/>
        <w:pageBreakBefore w:val="0"/>
        <w:widowControl w:val="0"/>
        <w:kinsoku/>
        <w:overflowPunct/>
        <w:topLinePunct w:val="0"/>
        <w:autoSpaceDE/>
        <w:autoSpaceDN/>
        <w:bidi w:val="0"/>
        <w:adjustRightInd/>
        <w:spacing w:line="540" w:lineRule="exact"/>
        <w:ind w:left="630" w:leftChars="300" w:firstLine="960" w:firstLineChars="3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回避承诺书</w:t>
      </w:r>
    </w:p>
    <w:p>
      <w:pPr>
        <w:pStyle w:val="2"/>
        <w:rPr>
          <w:rFonts w:hint="eastAsia" w:ascii="仿宋_GB2312" w:hAnsi="仿宋_GB2312" w:eastAsia="仿宋_GB2312" w:cs="仿宋_GB2312"/>
          <w:color w:val="auto"/>
          <w:sz w:val="32"/>
          <w:szCs w:val="32"/>
          <w:lang w:eastAsia="zh-CN"/>
        </w:rPr>
      </w:pPr>
    </w:p>
    <w:p>
      <w:pPr>
        <w:pStyle w:val="2"/>
        <w:ind w:left="0" w:leftChars="0" w:firstLine="0" w:firstLineChars="0"/>
        <w:rPr>
          <w:rFonts w:hint="eastAsia" w:ascii="仿宋_GB2312" w:hAnsi="仿宋_GB2312" w:eastAsia="仿宋_GB2312" w:cs="仿宋_GB2312"/>
          <w:color w:val="auto"/>
          <w:sz w:val="32"/>
          <w:szCs w:val="32"/>
          <w:lang w:eastAsia="zh-CN"/>
        </w:rPr>
      </w:pPr>
    </w:p>
    <w:p>
      <w:pPr>
        <w:rPr>
          <w:rFonts w:hint="eastAsia" w:ascii="仿宋_GB2312" w:hAnsi="仿宋_GB2312" w:eastAsia="仿宋_GB2312" w:cs="仿宋_GB2312"/>
          <w:color w:val="auto"/>
          <w:sz w:val="32"/>
          <w:szCs w:val="32"/>
          <w:lang w:eastAsia="zh-CN"/>
        </w:rPr>
      </w:pPr>
    </w:p>
    <w:bookmarkEnd w:id="10"/>
    <w:p>
      <w:pPr>
        <w:keepNext w:val="0"/>
        <w:keepLines w:val="0"/>
        <w:pageBreakBefore w:val="0"/>
        <w:widowControl w:val="0"/>
        <w:kinsoku/>
        <w:overflowPunct/>
        <w:topLinePunct w:val="0"/>
        <w:autoSpaceDE/>
        <w:autoSpaceDN/>
        <w:bidi w:val="0"/>
        <w:adjustRightInd/>
        <w:spacing w:line="540" w:lineRule="exact"/>
        <w:rPr>
          <w:rFonts w:hint="eastAsia" w:ascii="仿宋_GB2312" w:hAnsi="仿宋_GB2312" w:eastAsia="仿宋_GB2312" w:cs="仿宋_GB2312"/>
          <w:color w:val="auto"/>
          <w:sz w:val="32"/>
          <w:szCs w:val="32"/>
        </w:rPr>
      </w:pPr>
    </w:p>
    <w:bookmarkEnd w:id="11"/>
    <w:p>
      <w:pPr>
        <w:keepNext w:val="0"/>
        <w:keepLines w:val="0"/>
        <w:pageBreakBefore w:val="0"/>
        <w:widowControl w:val="0"/>
        <w:kinsoku/>
        <w:overflowPunct/>
        <w:topLinePunct w:val="0"/>
        <w:autoSpaceDE/>
        <w:autoSpaceDN/>
        <w:bidi w:val="0"/>
        <w:adjustRightInd/>
        <w:spacing w:line="540" w:lineRule="exact"/>
        <w:jc w:val="righ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满洲里</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32"/>
          <w:highlight w:val="none"/>
          <w:lang w:val="en-US" w:eastAsia="zh-CN"/>
        </w:rPr>
        <w:t>发改委</w:t>
      </w:r>
      <w:r>
        <w:rPr>
          <w:rFonts w:hint="eastAsia" w:ascii="仿宋_GB2312" w:hAnsi="仿宋_GB2312" w:eastAsia="仿宋_GB2312" w:cs="仿宋_GB2312"/>
          <w:color w:val="auto"/>
          <w:sz w:val="32"/>
          <w:szCs w:val="32"/>
          <w:u w:val="none"/>
          <w:lang w:val="en-US" w:eastAsia="zh-CN"/>
        </w:rPr>
        <w:t>人才引进工作领导小组</w:t>
      </w: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ascii="仿宋" w:hAnsi="仿宋" w:eastAsia="仿宋" w:cs="仿宋"/>
          <w:color w:val="auto"/>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w:t>
      </w:r>
    </w:p>
    <w:p>
      <w:pPr>
        <w:spacing w:line="400" w:lineRule="exact"/>
        <w:jc w:val="left"/>
        <w:rPr>
          <w:rFonts w:hint="eastAsia" w:ascii="CESI黑体-GB2312" w:hAnsi="CESI黑体-GB2312" w:eastAsia="CESI黑体-GB2312" w:cs="CESI黑体-GB2312"/>
          <w:b w:val="0"/>
          <w:bCs w:val="0"/>
          <w:color w:val="auto"/>
          <w:kern w:val="0"/>
          <w:sz w:val="32"/>
          <w:szCs w:val="32"/>
        </w:rPr>
      </w:pPr>
      <w:r>
        <w:rPr>
          <w:rFonts w:hint="eastAsia" w:ascii="CESI黑体-GB2312" w:hAnsi="CESI黑体-GB2312" w:eastAsia="CESI黑体-GB2312" w:cs="CESI黑体-GB2312"/>
          <w:b w:val="0"/>
          <w:bCs w:val="0"/>
          <w:color w:val="auto"/>
          <w:kern w:val="0"/>
          <w:sz w:val="32"/>
          <w:szCs w:val="32"/>
        </w:rPr>
        <w:t>附件1</w:t>
      </w:r>
    </w:p>
    <w:tbl>
      <w:tblPr>
        <w:tblStyle w:val="8"/>
        <w:tblpPr w:leftFromText="180" w:rightFromText="180" w:vertAnchor="text" w:horzAnchor="page" w:tblpX="770" w:tblpY="371"/>
        <w:tblOverlap w:val="never"/>
        <w:tblW w:w="15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043"/>
        <w:gridCol w:w="1300"/>
        <w:gridCol w:w="983"/>
        <w:gridCol w:w="1767"/>
        <w:gridCol w:w="833"/>
        <w:gridCol w:w="850"/>
        <w:gridCol w:w="491"/>
        <w:gridCol w:w="3550"/>
        <w:gridCol w:w="883"/>
        <w:gridCol w:w="1484"/>
        <w:gridCol w:w="1083"/>
        <w:gridCol w:w="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5558" w:type="dxa"/>
            <w:gridSpan w:val="13"/>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Style w:val="13"/>
                <w:lang w:val="en-US" w:eastAsia="zh-CN" w:bidi="ar"/>
              </w:rPr>
              <w:t>202</w:t>
            </w:r>
            <w:r>
              <w:rPr>
                <w:rStyle w:val="13"/>
                <w:rFonts w:hint="eastAsia"/>
                <w:lang w:val="en-US" w:eastAsia="zh-CN" w:bidi="ar"/>
              </w:rPr>
              <w:t>5</w:t>
            </w:r>
            <w:r>
              <w:rPr>
                <w:rStyle w:val="13"/>
                <w:lang w:val="en-US" w:eastAsia="zh-CN" w:bidi="ar"/>
              </w:rPr>
              <w:t>年满洲里</w:t>
            </w:r>
            <w:r>
              <w:rPr>
                <w:rStyle w:val="13"/>
                <w:rFonts w:hint="eastAsia"/>
                <w:lang w:val="en-US" w:eastAsia="zh-CN" w:bidi="ar"/>
              </w:rPr>
              <w:t>市</w:t>
            </w:r>
            <w:r>
              <w:rPr>
                <w:rStyle w:val="13"/>
                <w:rFonts w:hint="eastAsia"/>
                <w:highlight w:val="none"/>
                <w:lang w:val="en-US" w:eastAsia="zh-CN" w:bidi="ar"/>
              </w:rPr>
              <w:t>发改委所属</w:t>
            </w:r>
            <w:r>
              <w:rPr>
                <w:rStyle w:val="13"/>
                <w:rFonts w:hint="eastAsia"/>
                <w:lang w:val="en-US" w:eastAsia="zh-CN" w:bidi="ar"/>
              </w:rPr>
              <w:t>事业单位人才引进岗位需求表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主管</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引进</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7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学位</w:t>
            </w:r>
          </w:p>
        </w:tc>
        <w:tc>
          <w:tcPr>
            <w:tcW w:w="4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人数</w:t>
            </w:r>
          </w:p>
        </w:tc>
        <w:tc>
          <w:tcPr>
            <w:tcW w:w="3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岗位条件</w:t>
            </w:r>
          </w:p>
        </w:tc>
        <w:tc>
          <w:tcPr>
            <w:tcW w:w="8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电子邮箱</w:t>
            </w:r>
          </w:p>
        </w:tc>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1" w:hRule="atLeast"/>
        </w:trPr>
        <w:tc>
          <w:tcPr>
            <w:tcW w:w="64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w:t>
            </w:r>
          </w:p>
        </w:tc>
        <w:tc>
          <w:tcPr>
            <w:tcW w:w="10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满洲里市发改委</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满洲里市</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民营经济发展促进中心</w:t>
            </w:r>
          </w:p>
        </w:tc>
        <w:tc>
          <w:tcPr>
            <w:tcW w:w="9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专业</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技术岗1</w:t>
            </w:r>
          </w:p>
        </w:tc>
        <w:tc>
          <w:tcPr>
            <w:tcW w:w="17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本科：</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020101经济学</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030101K法学</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研究生：</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030107经济法学</w:t>
            </w:r>
          </w:p>
        </w:tc>
        <w:tc>
          <w:tcPr>
            <w:tcW w:w="8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本科</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及以上</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学士</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学位</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及以上</w:t>
            </w:r>
          </w:p>
        </w:tc>
        <w:tc>
          <w:tcPr>
            <w:tcW w:w="49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w:t>
            </w:r>
          </w:p>
        </w:tc>
        <w:tc>
          <w:tcPr>
            <w:tcW w:w="35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numId w:val="0"/>
              </w:numPr>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本科生报考应具有一流大学、一流学科建设高校或原“985”“211”高校相关专业全日制本科学历，并取得相应学位；</w:t>
            </w:r>
          </w:p>
          <w:p>
            <w:pPr>
              <w:keepNext w:val="0"/>
              <w:keepLines w:val="0"/>
              <w:pageBreakBefore w:val="0"/>
              <w:widowControl/>
              <w:numPr>
                <w:numId w:val="0"/>
              </w:numPr>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研究生</w:t>
            </w:r>
            <w:r>
              <w:rPr>
                <w:rFonts w:hint="eastAsia" w:ascii="宋体" w:hAnsi="宋体" w:cs="宋体"/>
                <w:i w:val="0"/>
                <w:iCs w:val="0"/>
                <w:color w:val="000000"/>
                <w:sz w:val="20"/>
                <w:szCs w:val="20"/>
                <w:u w:val="none"/>
                <w:lang w:eastAsia="zh-CN"/>
              </w:rPr>
              <w:t>及</w:t>
            </w:r>
            <w:r>
              <w:rPr>
                <w:rFonts w:hint="eastAsia" w:ascii="宋体" w:hAnsi="宋体" w:eastAsia="宋体" w:cs="宋体"/>
                <w:i w:val="0"/>
                <w:iCs w:val="0"/>
                <w:color w:val="000000"/>
                <w:sz w:val="20"/>
                <w:szCs w:val="20"/>
                <w:u w:val="none"/>
              </w:rPr>
              <w:t>以上学历报考应具有相关专业全日制</w:t>
            </w:r>
            <w:r>
              <w:rPr>
                <w:rFonts w:hint="eastAsia" w:ascii="宋体" w:hAnsi="宋体" w:cs="宋体"/>
                <w:i w:val="0"/>
                <w:iCs w:val="0"/>
                <w:color w:val="000000"/>
                <w:sz w:val="20"/>
                <w:szCs w:val="20"/>
                <w:u w:val="none"/>
                <w:lang w:eastAsia="zh-CN"/>
              </w:rPr>
              <w:t>硕士</w:t>
            </w:r>
            <w:r>
              <w:rPr>
                <w:rFonts w:hint="eastAsia" w:ascii="宋体" w:hAnsi="宋体" w:eastAsia="宋体" w:cs="宋体"/>
                <w:i w:val="0"/>
                <w:iCs w:val="0"/>
                <w:color w:val="000000"/>
                <w:sz w:val="20"/>
                <w:szCs w:val="20"/>
                <w:u w:val="none"/>
              </w:rPr>
              <w:t>研究生</w:t>
            </w:r>
            <w:r>
              <w:rPr>
                <w:rFonts w:hint="eastAsia" w:ascii="宋体" w:hAnsi="宋体" w:cs="宋体"/>
                <w:i w:val="0"/>
                <w:iCs w:val="0"/>
                <w:color w:val="000000"/>
                <w:sz w:val="20"/>
                <w:szCs w:val="20"/>
                <w:u w:val="none"/>
                <w:lang w:eastAsia="zh-CN"/>
              </w:rPr>
              <w:t>及</w:t>
            </w:r>
            <w:r>
              <w:rPr>
                <w:rFonts w:hint="eastAsia" w:ascii="宋体" w:hAnsi="宋体" w:eastAsia="宋体" w:cs="宋体"/>
                <w:i w:val="0"/>
                <w:iCs w:val="0"/>
                <w:color w:val="000000"/>
                <w:sz w:val="20"/>
                <w:szCs w:val="20"/>
                <w:u w:val="none"/>
              </w:rPr>
              <w:t xml:space="preserve">以上学历并取得相应学位。 </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吴文英</w:t>
            </w:r>
          </w:p>
        </w:tc>
        <w:tc>
          <w:tcPr>
            <w:tcW w:w="14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0470-6262241</w:t>
            </w:r>
          </w:p>
        </w:tc>
        <w:tc>
          <w:tcPr>
            <w:tcW w:w="10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kern w:val="0"/>
                <w:sz w:val="20"/>
                <w:szCs w:val="20"/>
                <w:u w:val="single"/>
                <w:lang w:val="en-US" w:eastAsia="zh-CN" w:bidi="ar"/>
              </w:rPr>
            </w:pPr>
            <w:r>
              <w:rPr>
                <w:rFonts w:hint="eastAsia" w:ascii="宋体" w:hAnsi="宋体" w:eastAsia="宋体" w:cs="宋体"/>
                <w:i w:val="0"/>
                <w:iCs w:val="0"/>
                <w:kern w:val="0"/>
                <w:sz w:val="20"/>
                <w:szCs w:val="20"/>
                <w:u w:val="single"/>
                <w:lang w:val="en-US" w:eastAsia="zh-CN" w:bidi="ar"/>
              </w:rPr>
              <w:t>mzlfgwbgs</w:t>
            </w:r>
          </w:p>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color w:val="0000FF"/>
                <w:kern w:val="2"/>
                <w:sz w:val="20"/>
                <w:szCs w:val="20"/>
                <w:u w:val="single"/>
                <w:lang w:val="en-US" w:eastAsia="zh-CN" w:bidi="ar-SA"/>
              </w:rPr>
            </w:pPr>
            <w:r>
              <w:rPr>
                <w:rFonts w:hint="eastAsia" w:ascii="宋体" w:hAnsi="宋体" w:eastAsia="宋体" w:cs="宋体"/>
                <w:i w:val="0"/>
                <w:iCs w:val="0"/>
                <w:kern w:val="0"/>
                <w:sz w:val="20"/>
                <w:szCs w:val="20"/>
                <w:u w:val="single"/>
                <w:lang w:val="en-US" w:eastAsia="zh-CN" w:bidi="ar"/>
              </w:rPr>
              <w:t>@126.com</w:t>
            </w: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"mailto:hzqgwhxzb@163.com" </w:instrText>
            </w:r>
            <w:r>
              <w:rPr>
                <w:rFonts w:hint="eastAsia" w:ascii="宋体" w:hAnsi="宋体" w:eastAsia="宋体" w:cs="宋体"/>
                <w:i w:val="0"/>
                <w:iCs w:val="0"/>
                <w:kern w:val="0"/>
                <w:sz w:val="20"/>
                <w:szCs w:val="20"/>
                <w:u w:val="single"/>
                <w:lang w:val="en-US" w:eastAsia="zh-CN" w:bidi="ar"/>
              </w:rPr>
              <w:fldChar w:fldCharType="separate"/>
            </w:r>
            <w:r>
              <w:rPr>
                <w:rFonts w:hint="eastAsia" w:ascii="宋体" w:hAnsi="宋体" w:eastAsia="宋体" w:cs="宋体"/>
                <w:i w:val="0"/>
                <w:iCs w:val="0"/>
                <w:kern w:val="0"/>
                <w:sz w:val="20"/>
                <w:szCs w:val="20"/>
                <w:u w:val="single"/>
                <w:lang w:val="en-US" w:eastAsia="zh-CN" w:bidi="ar"/>
              </w:rPr>
              <w:fldChar w:fldCharType="end"/>
            </w:r>
          </w:p>
        </w:tc>
        <w:tc>
          <w:tcPr>
            <w:tcW w:w="64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满洲里市发改委</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满洲里市</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民营经济发展促进中心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专业</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技术岗</w:t>
            </w:r>
            <w:r>
              <w:rPr>
                <w:rFonts w:hint="eastAsia" w:ascii="宋体" w:hAnsi="宋体" w:cs="宋体"/>
                <w:i w:val="0"/>
                <w:iCs w:val="0"/>
                <w:color w:val="000000"/>
                <w:sz w:val="20"/>
                <w:szCs w:val="20"/>
                <w:u w:val="none"/>
                <w:lang w:val="en-US" w:eastAsia="zh-CN"/>
              </w:rPr>
              <w:t>2</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本科：</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020304投资学</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020301K金融学</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020108T经济工程</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研究生：</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0202应用经济学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本科</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及以上</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学士</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学位</w:t>
            </w:r>
          </w:p>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及以上</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numId w:val="0"/>
              </w:numPr>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bookmarkStart w:id="13" w:name="_GoBack"/>
            <w:bookmarkEnd w:id="13"/>
            <w:r>
              <w:rPr>
                <w:rFonts w:hint="eastAsia" w:ascii="宋体" w:hAnsi="宋体" w:eastAsia="宋体" w:cs="宋体"/>
                <w:i w:val="0"/>
                <w:iCs w:val="0"/>
                <w:color w:val="000000"/>
                <w:sz w:val="20"/>
                <w:szCs w:val="20"/>
                <w:u w:val="none"/>
              </w:rPr>
              <w:t>本科生报考应具有一流大学、一流学科建设高校或原“985”“211”高校相关专业全日制本科学历，并取得相应学位；</w:t>
            </w:r>
          </w:p>
          <w:p>
            <w:pPr>
              <w:keepNext w:val="0"/>
              <w:keepLines w:val="0"/>
              <w:pageBreakBefore w:val="0"/>
              <w:widowControl/>
              <w:numPr>
                <w:numId w:val="0"/>
              </w:numPr>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研究生</w:t>
            </w:r>
            <w:r>
              <w:rPr>
                <w:rFonts w:hint="eastAsia" w:ascii="宋体" w:hAnsi="宋体" w:cs="宋体"/>
                <w:i w:val="0"/>
                <w:iCs w:val="0"/>
                <w:color w:val="000000"/>
                <w:sz w:val="20"/>
                <w:szCs w:val="20"/>
                <w:u w:val="none"/>
                <w:lang w:eastAsia="zh-CN"/>
              </w:rPr>
              <w:t>及</w:t>
            </w:r>
            <w:r>
              <w:rPr>
                <w:rFonts w:hint="eastAsia" w:ascii="宋体" w:hAnsi="宋体" w:eastAsia="宋体" w:cs="宋体"/>
                <w:i w:val="0"/>
                <w:iCs w:val="0"/>
                <w:color w:val="000000"/>
                <w:sz w:val="20"/>
                <w:szCs w:val="20"/>
                <w:u w:val="none"/>
              </w:rPr>
              <w:t>以上学历报考应具有相关专业全日制</w:t>
            </w:r>
            <w:r>
              <w:rPr>
                <w:rFonts w:hint="eastAsia" w:ascii="宋体" w:hAnsi="宋体" w:cs="宋体"/>
                <w:i w:val="0"/>
                <w:iCs w:val="0"/>
                <w:color w:val="000000"/>
                <w:sz w:val="20"/>
                <w:szCs w:val="20"/>
                <w:u w:val="none"/>
                <w:lang w:eastAsia="zh-CN"/>
              </w:rPr>
              <w:t>硕士</w:t>
            </w:r>
            <w:r>
              <w:rPr>
                <w:rFonts w:hint="eastAsia" w:ascii="宋体" w:hAnsi="宋体" w:eastAsia="宋体" w:cs="宋体"/>
                <w:i w:val="0"/>
                <w:iCs w:val="0"/>
                <w:color w:val="000000"/>
                <w:sz w:val="20"/>
                <w:szCs w:val="20"/>
                <w:u w:val="none"/>
              </w:rPr>
              <w:t>研究生</w:t>
            </w:r>
            <w:r>
              <w:rPr>
                <w:rFonts w:hint="eastAsia" w:ascii="宋体" w:hAnsi="宋体" w:cs="宋体"/>
                <w:i w:val="0"/>
                <w:iCs w:val="0"/>
                <w:color w:val="000000"/>
                <w:sz w:val="20"/>
                <w:szCs w:val="20"/>
                <w:u w:val="none"/>
                <w:lang w:eastAsia="zh-CN"/>
              </w:rPr>
              <w:t>及</w:t>
            </w:r>
            <w:r>
              <w:rPr>
                <w:rFonts w:hint="eastAsia" w:ascii="宋体" w:hAnsi="宋体" w:eastAsia="宋体" w:cs="宋体"/>
                <w:i w:val="0"/>
                <w:iCs w:val="0"/>
                <w:color w:val="000000"/>
                <w:sz w:val="20"/>
                <w:szCs w:val="20"/>
                <w:u w:val="none"/>
              </w:rPr>
              <w:t xml:space="preserve">以上学历并取得相应学位。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吴文英</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0470-6262241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kern w:val="0"/>
                <w:sz w:val="20"/>
                <w:szCs w:val="20"/>
                <w:u w:val="single"/>
                <w:lang w:val="en-US" w:eastAsia="zh-CN" w:bidi="ar"/>
              </w:rPr>
            </w:pPr>
            <w:r>
              <w:rPr>
                <w:rFonts w:hint="eastAsia" w:ascii="宋体" w:hAnsi="宋体" w:eastAsia="宋体" w:cs="宋体"/>
                <w:i w:val="0"/>
                <w:iCs w:val="0"/>
                <w:kern w:val="0"/>
                <w:sz w:val="20"/>
                <w:szCs w:val="20"/>
                <w:u w:val="single"/>
                <w:lang w:val="en-US" w:eastAsia="zh-CN" w:bidi="ar"/>
              </w:rPr>
              <w:t>mzlfgwbgs</w:t>
            </w:r>
          </w:p>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iCs w:val="0"/>
                <w:color w:val="0000FF"/>
                <w:kern w:val="2"/>
                <w:sz w:val="20"/>
                <w:szCs w:val="20"/>
                <w:u w:val="single"/>
                <w:lang w:val="en-US" w:eastAsia="zh-CN" w:bidi="ar-SA"/>
              </w:rPr>
            </w:pPr>
            <w:r>
              <w:rPr>
                <w:rFonts w:hint="eastAsia" w:ascii="宋体" w:hAnsi="宋体" w:eastAsia="宋体" w:cs="宋体"/>
                <w:i w:val="0"/>
                <w:iCs w:val="0"/>
                <w:kern w:val="0"/>
                <w:sz w:val="20"/>
                <w:szCs w:val="20"/>
                <w:u w:val="single"/>
                <w:lang w:val="en-US" w:eastAsia="zh-CN" w:bidi="ar"/>
              </w:rPr>
              <w:t>@126.com</w:t>
            </w: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"mailto:hzqgwhxzb@163.com" </w:instrText>
            </w:r>
            <w:r>
              <w:rPr>
                <w:rFonts w:hint="eastAsia" w:ascii="宋体" w:hAnsi="宋体" w:eastAsia="宋体" w:cs="宋体"/>
                <w:i w:val="0"/>
                <w:iCs w:val="0"/>
                <w:kern w:val="0"/>
                <w:sz w:val="20"/>
                <w:szCs w:val="20"/>
                <w:u w:val="single"/>
                <w:lang w:val="en-US" w:eastAsia="zh-CN" w:bidi="ar"/>
              </w:rPr>
              <w:fldChar w:fldCharType="separate"/>
            </w:r>
            <w:r>
              <w:rPr>
                <w:rFonts w:hint="eastAsia" w:ascii="宋体" w:hAnsi="宋体" w:eastAsia="宋体" w:cs="宋体"/>
                <w:i w:val="0"/>
                <w:iCs w:val="0"/>
                <w:kern w:val="0"/>
                <w:sz w:val="20"/>
                <w:szCs w:val="20"/>
                <w:u w:val="single"/>
                <w:lang w:val="en-US" w:eastAsia="zh-CN" w:bidi="ar"/>
              </w:rPr>
              <w:fldChar w:fldCharType="end"/>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sectPr>
          <w:footerReference r:id="rId4" w:type="default"/>
          <w:pgSz w:w="16838" w:h="11906" w:orient="landscape"/>
          <w:pgMar w:top="1803" w:right="1440" w:bottom="1803" w:left="1440" w:header="851" w:footer="992" w:gutter="0"/>
          <w:pgNumType w:fmt="decimal"/>
          <w:cols w:space="0" w:num="1"/>
          <w:docGrid w:type="lines" w:linePitch="319" w:charSpace="0"/>
        </w:sectPr>
      </w:pPr>
    </w:p>
    <w:tbl>
      <w:tblPr>
        <w:tblStyle w:val="8"/>
        <w:tblW w:w="10337" w:type="dxa"/>
        <w:jc w:val="center"/>
        <w:tblLayout w:type="fixed"/>
        <w:tblCellMar>
          <w:top w:w="0" w:type="dxa"/>
          <w:left w:w="108" w:type="dxa"/>
          <w:bottom w:w="0" w:type="dxa"/>
          <w:right w:w="108" w:type="dxa"/>
        </w:tblCellMar>
      </w:tblPr>
      <w:tblGrid>
        <w:gridCol w:w="2209"/>
        <w:gridCol w:w="1270"/>
        <w:gridCol w:w="1837"/>
        <w:gridCol w:w="1612"/>
        <w:gridCol w:w="1494"/>
        <w:gridCol w:w="1915"/>
      </w:tblGrid>
      <w:tr>
        <w:tblPrEx>
          <w:tblCellMar>
            <w:top w:w="0" w:type="dxa"/>
            <w:left w:w="108" w:type="dxa"/>
            <w:bottom w:w="0" w:type="dxa"/>
            <w:right w:w="108" w:type="dxa"/>
          </w:tblCellMar>
        </w:tblPrEx>
        <w:trPr>
          <w:trHeight w:val="597" w:hRule="atLeast"/>
          <w:jc w:val="center"/>
        </w:trPr>
        <w:tc>
          <w:tcPr>
            <w:tcW w:w="3479" w:type="dxa"/>
            <w:gridSpan w:val="2"/>
            <w:tcBorders>
              <w:top w:val="nil"/>
              <w:left w:val="nil"/>
              <w:bottom w:val="nil"/>
              <w:right w:val="nil"/>
            </w:tcBorders>
            <w:shd w:val="clear" w:color="auto" w:fill="auto"/>
            <w:vAlign w:val="center"/>
          </w:tcPr>
          <w:p>
            <w:pPr>
              <w:widowControl/>
              <w:spacing w:line="500" w:lineRule="exact"/>
              <w:jc w:val="left"/>
              <w:rPr>
                <w:rFonts w:ascii="宋体" w:hAnsi="宋体" w:cs="宋体"/>
                <w:b/>
                <w:bCs/>
                <w:kern w:val="0"/>
                <w:sz w:val="32"/>
                <w:szCs w:val="32"/>
              </w:rPr>
            </w:pPr>
            <w:bookmarkStart w:id="12" w:name="OLE_LINK14"/>
            <w:r>
              <w:rPr>
                <w:rFonts w:hint="eastAsia" w:ascii="CESI黑体-GB2312" w:hAnsi="CESI黑体-GB2312" w:eastAsia="CESI黑体-GB2312" w:cs="CESI黑体-GB2312"/>
                <w:b w:val="0"/>
                <w:bCs w:val="0"/>
                <w:kern w:val="0"/>
                <w:sz w:val="32"/>
                <w:szCs w:val="32"/>
              </w:rPr>
              <w:t>附件2</w:t>
            </w:r>
          </w:p>
        </w:tc>
        <w:tc>
          <w:tcPr>
            <w:tcW w:w="1837"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612"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494"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915"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r>
      <w:tr>
        <w:tblPrEx>
          <w:tblCellMar>
            <w:top w:w="0" w:type="dxa"/>
            <w:left w:w="108" w:type="dxa"/>
            <w:bottom w:w="0" w:type="dxa"/>
            <w:right w:w="108" w:type="dxa"/>
          </w:tblCellMar>
        </w:tblPrEx>
        <w:trPr>
          <w:trHeight w:val="693" w:hRule="atLeast"/>
          <w:jc w:val="center"/>
        </w:trPr>
        <w:tc>
          <w:tcPr>
            <w:tcW w:w="10337" w:type="dxa"/>
            <w:gridSpan w:val="6"/>
            <w:tcBorders>
              <w:top w:val="nil"/>
              <w:left w:val="nil"/>
              <w:bottom w:val="nil"/>
              <w:right w:val="nil"/>
            </w:tcBorders>
            <w:shd w:val="clear" w:color="auto" w:fill="auto"/>
            <w:vAlign w:val="center"/>
          </w:tcPr>
          <w:p>
            <w:pPr>
              <w:widowControl/>
              <w:spacing w:line="500" w:lineRule="exact"/>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w:t>
            </w:r>
            <w:r>
              <w:rPr>
                <w:rFonts w:hint="eastAsia" w:ascii="方正小标宋简体" w:hAnsi="宋体" w:eastAsia="方正小标宋简体" w:cs="宋体"/>
                <w:kern w:val="0"/>
                <w:sz w:val="40"/>
                <w:szCs w:val="40"/>
                <w:lang w:val="en-US" w:eastAsia="zh-CN"/>
              </w:rPr>
              <w:t>5</w:t>
            </w:r>
            <w:r>
              <w:rPr>
                <w:rFonts w:hint="eastAsia" w:ascii="方正小标宋简体" w:hAnsi="宋体" w:eastAsia="方正小标宋简体" w:cs="宋体"/>
                <w:kern w:val="0"/>
                <w:sz w:val="40"/>
                <w:szCs w:val="40"/>
              </w:rPr>
              <w:t>年满洲里市</w:t>
            </w:r>
            <w:r>
              <w:rPr>
                <w:rFonts w:hint="eastAsia" w:ascii="方正小标宋简体" w:hAnsi="宋体" w:eastAsia="方正小标宋简体" w:cs="宋体"/>
                <w:kern w:val="0"/>
                <w:sz w:val="40"/>
                <w:szCs w:val="40"/>
                <w:highlight w:val="none"/>
                <w:lang w:val="en-US" w:eastAsia="zh-CN"/>
              </w:rPr>
              <w:t>发改委</w:t>
            </w:r>
            <w:r>
              <w:rPr>
                <w:rFonts w:hint="eastAsia" w:ascii="方正小标宋简体" w:hAnsi="宋体" w:eastAsia="方正小标宋简体" w:cs="宋体"/>
                <w:kern w:val="0"/>
                <w:sz w:val="40"/>
                <w:szCs w:val="40"/>
              </w:rPr>
              <w:t>属事业单位</w:t>
            </w:r>
            <w:r>
              <w:rPr>
                <w:rFonts w:hint="eastAsia" w:ascii="方正小标宋简体" w:hAnsi="宋体" w:eastAsia="方正小标宋简体" w:cs="宋体"/>
                <w:kern w:val="0"/>
                <w:sz w:val="40"/>
                <w:szCs w:val="40"/>
                <w:highlight w:val="none"/>
              </w:rPr>
              <w:t>人才引进</w:t>
            </w:r>
            <w:r>
              <w:rPr>
                <w:rFonts w:hint="eastAsia" w:ascii="方正小标宋简体" w:hAnsi="宋体" w:eastAsia="方正小标宋简体" w:cs="宋体"/>
                <w:kern w:val="0"/>
                <w:sz w:val="40"/>
                <w:szCs w:val="40"/>
              </w:rPr>
              <w:t>报名表</w:t>
            </w:r>
          </w:p>
        </w:tc>
      </w:tr>
      <w:tr>
        <w:tblPrEx>
          <w:tblCellMar>
            <w:top w:w="0" w:type="dxa"/>
            <w:left w:w="108" w:type="dxa"/>
            <w:bottom w:w="0" w:type="dxa"/>
            <w:right w:w="108" w:type="dxa"/>
          </w:tblCellMar>
        </w:tblPrEx>
        <w:trPr>
          <w:trHeight w:val="470" w:hRule="atLeast"/>
          <w:jc w:val="center"/>
        </w:trPr>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2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470" w:hRule="atLeast"/>
          <w:jc w:val="center"/>
        </w:trPr>
        <w:tc>
          <w:tcPr>
            <w:tcW w:w="22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2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1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70" w:hRule="atLeast"/>
          <w:jc w:val="center"/>
        </w:trPr>
        <w:tc>
          <w:tcPr>
            <w:tcW w:w="22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1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70" w:hRule="atLeast"/>
          <w:jc w:val="center"/>
        </w:trPr>
        <w:tc>
          <w:tcPr>
            <w:tcW w:w="22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1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70" w:hRule="atLeast"/>
          <w:jc w:val="center"/>
        </w:trPr>
        <w:tc>
          <w:tcPr>
            <w:tcW w:w="22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4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1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70" w:hRule="atLeast"/>
          <w:jc w:val="center"/>
        </w:trPr>
        <w:tc>
          <w:tcPr>
            <w:tcW w:w="22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0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40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70" w:hRule="atLeast"/>
          <w:jc w:val="center"/>
        </w:trPr>
        <w:tc>
          <w:tcPr>
            <w:tcW w:w="22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2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4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70" w:hRule="atLeast"/>
          <w:jc w:val="center"/>
        </w:trPr>
        <w:tc>
          <w:tcPr>
            <w:tcW w:w="2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4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70" w:hRule="atLeast"/>
          <w:jc w:val="center"/>
        </w:trPr>
        <w:tc>
          <w:tcPr>
            <w:tcW w:w="22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2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4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70" w:hRule="atLeast"/>
          <w:jc w:val="center"/>
        </w:trPr>
        <w:tc>
          <w:tcPr>
            <w:tcW w:w="2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4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70" w:hRule="atLeast"/>
          <w:jc w:val="center"/>
        </w:trPr>
        <w:tc>
          <w:tcPr>
            <w:tcW w:w="22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4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70" w:hRule="atLeast"/>
          <w:jc w:val="center"/>
        </w:trPr>
        <w:tc>
          <w:tcPr>
            <w:tcW w:w="22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4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70" w:hRule="atLeast"/>
          <w:jc w:val="center"/>
        </w:trPr>
        <w:tc>
          <w:tcPr>
            <w:tcW w:w="22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128"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263" w:hRule="atLeast"/>
          <w:jc w:val="center"/>
        </w:trPr>
        <w:tc>
          <w:tcPr>
            <w:tcW w:w="220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kern w:val="0"/>
                <w:sz w:val="22"/>
                <w:szCs w:val="22"/>
              </w:rPr>
            </w:pPr>
            <w:r>
              <w:rPr>
                <w:rFonts w:hint="eastAsia" w:ascii="宋体" w:hAnsi="宋体" w:cs="宋体"/>
                <w:kern w:val="0"/>
                <w:sz w:val="22"/>
                <w:szCs w:val="22"/>
              </w:rPr>
              <w:t>简历</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kern w:val="0"/>
                <w:sz w:val="22"/>
                <w:szCs w:val="22"/>
              </w:rPr>
            </w:pPr>
            <w:r>
              <w:rPr>
                <w:rFonts w:hint="eastAsia" w:ascii="宋体" w:hAnsi="宋体" w:cs="宋体"/>
                <w:kern w:val="0"/>
                <w:sz w:val="22"/>
                <w:szCs w:val="22"/>
              </w:rPr>
              <w:t>（从高等教育阶段    填起）</w:t>
            </w:r>
          </w:p>
        </w:tc>
        <w:tc>
          <w:tcPr>
            <w:tcW w:w="81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697" w:hRule="atLeast"/>
          <w:jc w:val="center"/>
        </w:trPr>
        <w:tc>
          <w:tcPr>
            <w:tcW w:w="53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s="宋体"/>
                <w:kern w:val="0"/>
                <w:sz w:val="22"/>
                <w:szCs w:val="22"/>
              </w:rPr>
            </w:pPr>
            <w:r>
              <w:rPr>
                <w:rFonts w:hint="eastAsia" w:ascii="宋体" w:hAnsi="宋体" w:cs="宋体"/>
                <w:kern w:val="0"/>
                <w:sz w:val="22"/>
                <w:szCs w:val="22"/>
              </w:rPr>
              <w:t xml:space="preserve">    我承诺，以上信息真实正确，本人符合报名岗位引进条件，若有弄虚作假行为，自愿放弃引进资格。</w:t>
            </w:r>
          </w:p>
          <w:p>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ascii="宋体" w:hAnsi="宋体" w:cs="宋体"/>
                <w:kern w:val="0"/>
                <w:sz w:val="22"/>
                <w:szCs w:val="22"/>
              </w:rPr>
            </w:pPr>
            <w:r>
              <w:rPr>
                <w:rFonts w:hint="eastAsia" w:ascii="宋体" w:hAnsi="宋体" w:cs="宋体"/>
                <w:kern w:val="0"/>
                <w:sz w:val="22"/>
                <w:szCs w:val="22"/>
              </w:rPr>
              <w:t xml:space="preserve">                     承诺人签字：</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p>
          <w:p>
            <w:pPr>
              <w:widowControl/>
              <w:jc w:val="center"/>
              <w:rPr>
                <w:rFonts w:ascii="宋体" w:hAnsi="宋体" w:cs="宋体"/>
                <w:kern w:val="0"/>
                <w:sz w:val="22"/>
                <w:szCs w:val="22"/>
              </w:rPr>
            </w:pPr>
            <w:r>
              <w:rPr>
                <w:rFonts w:hint="eastAsia" w:ascii="宋体" w:hAnsi="宋体" w:cs="宋体"/>
                <w:kern w:val="0"/>
                <w:sz w:val="22"/>
                <w:szCs w:val="22"/>
              </w:rPr>
              <w:t>意见</w:t>
            </w:r>
          </w:p>
        </w:tc>
        <w:tc>
          <w:tcPr>
            <w:tcW w:w="34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p>
          <w:p>
            <w:pPr>
              <w:pStyle w:val="4"/>
              <w:ind w:left="420"/>
            </w:pPr>
          </w:p>
          <w:p>
            <w:pPr>
              <w:pStyle w:val="4"/>
              <w:ind w:left="420"/>
            </w:pPr>
          </w:p>
          <w:p>
            <w:pPr>
              <w:widowControl/>
              <w:jc w:val="left"/>
              <w:rPr>
                <w:rFonts w:ascii="宋体" w:hAnsi="宋体" w:cs="宋体"/>
                <w:kern w:val="0"/>
                <w:sz w:val="22"/>
                <w:szCs w:val="22"/>
              </w:rPr>
            </w:pPr>
            <w:r>
              <w:rPr>
                <w:rFonts w:hint="eastAsia" w:ascii="宋体" w:hAnsi="宋体" w:cs="宋体"/>
                <w:kern w:val="0"/>
                <w:sz w:val="22"/>
                <w:szCs w:val="22"/>
              </w:rPr>
              <w:t xml:space="preserve">           （单位盖章）</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r>
    </w:tbl>
    <w:p>
      <w:pPr>
        <w:widowControl/>
        <w:jc w:val="left"/>
        <w:rPr>
          <w:rFonts w:hint="eastAsia" w:ascii="CESI黑体-GB2312" w:hAnsi="CESI黑体-GB2312" w:eastAsia="CESI黑体-GB2312" w:cs="CESI黑体-GB2312"/>
          <w:b w:val="0"/>
          <w:bCs w:val="0"/>
          <w:color w:val="auto"/>
          <w:kern w:val="0"/>
          <w:sz w:val="32"/>
          <w:szCs w:val="32"/>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pPr>
        <w:widowControl/>
        <w:jc w:val="left"/>
        <w:rPr>
          <w:rFonts w:ascii="宋体" w:hAnsi="宋体" w:cs="宋体"/>
          <w:b/>
          <w:bCs/>
          <w:color w:val="auto"/>
          <w:kern w:val="0"/>
          <w:sz w:val="32"/>
          <w:szCs w:val="32"/>
        </w:rPr>
      </w:pPr>
      <w:r>
        <w:rPr>
          <w:rFonts w:hint="eastAsia" w:ascii="CESI黑体-GB2312" w:hAnsi="CESI黑体-GB2312" w:eastAsia="CESI黑体-GB2312" w:cs="CESI黑体-GB2312"/>
          <w:b w:val="0"/>
          <w:bCs w:val="0"/>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（1）在读的普通高等学校全日制专科生、本科生、研究生(不含应届毕业生);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eastAsia="zh-CN"/>
        </w:rPr>
        <w:t>有犯罪记录的;被开除中国共产党党籍和公职的;在立案审查期间或党纪、政务处分影响期内或者期满影响聘用的;曾被依法列为失信联合惩戒对象的人员;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在公务员招考或事业单位公开招聘中被认定有舞弊等严重违反录用(聘用)纪律行为并在禁考期限内的人员;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现役军人;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引进后即构成回避关系岗位的人员;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承诺人(签字)：</w:t>
      </w:r>
    </w:p>
    <w:p>
      <w:pPr>
        <w:ind w:firstLine="5280" w:firstLineChars="1650"/>
        <w:rPr>
          <w:rFonts w:hint="eastAsia"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p>
      <w:pPr>
        <w:pStyle w:val="4"/>
        <w:ind w:left="420"/>
        <w:rPr>
          <w:color w:val="auto"/>
        </w:rPr>
      </w:pPr>
    </w:p>
    <w:p>
      <w:pPr>
        <w:widowControl/>
        <w:jc w:val="left"/>
        <w:rPr>
          <w:rFonts w:hint="eastAsia" w:ascii="CESI黑体-GB2312" w:hAnsi="CESI黑体-GB2312" w:eastAsia="CESI黑体-GB2312" w:cs="CESI黑体-GB2312"/>
          <w:b w:val="0"/>
          <w:bCs w:val="0"/>
          <w:color w:val="auto"/>
          <w:kern w:val="0"/>
          <w:sz w:val="32"/>
          <w:szCs w:val="32"/>
        </w:rPr>
      </w:pPr>
      <w:r>
        <w:rPr>
          <w:rFonts w:hint="eastAsia" w:ascii="CESI黑体-GB2312" w:hAnsi="CESI黑体-GB2312" w:eastAsia="CESI黑体-GB2312" w:cs="CESI黑体-GB2312"/>
          <w:b w:val="0"/>
          <w:bCs w:val="0"/>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本人与满洲里市</w:t>
      </w:r>
      <w:r>
        <w:rPr>
          <w:rFonts w:hint="eastAsia" w:ascii="仿宋_GB2312" w:hAnsi="仿宋_GB2312" w:eastAsia="仿宋_GB2312" w:cs="仿宋_GB2312"/>
          <w:sz w:val="32"/>
          <w:szCs w:val="32"/>
          <w:highlight w:val="none"/>
          <w:lang w:val="en-US" w:eastAsia="zh-CN"/>
        </w:rPr>
        <w:t>发改委及所属事业单位</w:t>
      </w:r>
      <w:r>
        <w:rPr>
          <w:rFonts w:hint="eastAsia" w:ascii="仿宋_GB2312" w:hAnsi="仿宋_GB2312" w:eastAsia="仿宋_GB2312" w:cs="仿宋_GB2312"/>
          <w:sz w:val="32"/>
          <w:szCs w:val="32"/>
        </w:rPr>
        <w:t>领导班子成员不存在下列回避情形</w:t>
      </w:r>
      <w:r>
        <w:rPr>
          <w:rFonts w:hint="eastAsia" w:ascii="仿宋_GB2312" w:hAnsi="仿宋_GB2312" w:eastAsia="仿宋_GB2312" w:cs="仿宋_GB2312"/>
          <w:sz w:val="32"/>
          <w:szCs w:val="32"/>
          <w:highlight w:val="none"/>
        </w:rPr>
        <w:t>:</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w:t>
      </w:r>
      <w:r>
        <w:rPr>
          <w:rFonts w:hint="eastAsia" w:ascii="仿宋_GB2312" w:hAnsi="仿宋_GB2312" w:eastAsia="仿宋_GB2312" w:cs="仿宋_GB2312"/>
          <w:color w:val="auto"/>
          <w:sz w:val="32"/>
          <w:szCs w:val="32"/>
          <w:lang w:eastAsia="zh-CN"/>
        </w:rPr>
        <w:t>旁系血亲的</w:t>
      </w:r>
      <w:r>
        <w:rPr>
          <w:rFonts w:hint="eastAsia" w:ascii="仿宋_GB2312" w:hAnsi="仿宋_GB2312" w:eastAsia="仿宋_GB2312" w:cs="仿宋_GB2312"/>
          <w:color w:val="auto"/>
          <w:sz w:val="32"/>
          <w:szCs w:val="32"/>
        </w:rPr>
        <w:t>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4"/>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color w:val="auto"/>
        </w:rPr>
      </w:pPr>
      <w:r>
        <w:rPr>
          <w:rFonts w:hint="eastAsia" w:ascii="仿宋_GB2312" w:hAnsi="仿宋_GB2312" w:eastAsia="仿宋_GB2312" w:cs="仿宋_GB2312"/>
          <w:color w:val="auto"/>
          <w:sz w:val="32"/>
          <w:szCs w:val="32"/>
        </w:rPr>
        <w:t>年   月   日</w:t>
      </w:r>
      <w:bookmarkEnd w:id="12"/>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v:textbox>
            </v:shape>
          </w:pict>
        </mc:Fallback>
      </mc:AlternateContent>
    </w:r>
  </w:p>
  <w:p>
    <w:pPr>
      <w:pStyle w:val="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67D8"/>
    <w:multiLevelType w:val="singleLevel"/>
    <w:tmpl w:val="92B267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YmU5NzAzMGU3MGI5MGJkYTg1ZmRhZDA0ZTI1YzMifQ=="/>
  </w:docVars>
  <w:rsids>
    <w:rsidRoot w:val="55F16F36"/>
    <w:rsid w:val="01067C6D"/>
    <w:rsid w:val="01CC7CF9"/>
    <w:rsid w:val="01F36FCC"/>
    <w:rsid w:val="01FD2D02"/>
    <w:rsid w:val="02AD2556"/>
    <w:rsid w:val="02C40969"/>
    <w:rsid w:val="03425450"/>
    <w:rsid w:val="03DE35EF"/>
    <w:rsid w:val="03F12886"/>
    <w:rsid w:val="04455AD9"/>
    <w:rsid w:val="0484270C"/>
    <w:rsid w:val="051048C1"/>
    <w:rsid w:val="05C313AC"/>
    <w:rsid w:val="05DA1CAE"/>
    <w:rsid w:val="063672F8"/>
    <w:rsid w:val="06E2664A"/>
    <w:rsid w:val="078A2181"/>
    <w:rsid w:val="07E01340"/>
    <w:rsid w:val="08233C21"/>
    <w:rsid w:val="08305436"/>
    <w:rsid w:val="08674142"/>
    <w:rsid w:val="0888458F"/>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0F566DED"/>
    <w:rsid w:val="10283467"/>
    <w:rsid w:val="102F0B7B"/>
    <w:rsid w:val="1077526D"/>
    <w:rsid w:val="10DB78ED"/>
    <w:rsid w:val="11025D89"/>
    <w:rsid w:val="117234E2"/>
    <w:rsid w:val="11D363A6"/>
    <w:rsid w:val="125321BF"/>
    <w:rsid w:val="12EA4CEA"/>
    <w:rsid w:val="1359145C"/>
    <w:rsid w:val="13B55D4D"/>
    <w:rsid w:val="141F36D1"/>
    <w:rsid w:val="145C0106"/>
    <w:rsid w:val="14861F22"/>
    <w:rsid w:val="16FF647B"/>
    <w:rsid w:val="18552337"/>
    <w:rsid w:val="186A6BF8"/>
    <w:rsid w:val="187622AE"/>
    <w:rsid w:val="18FA6A3B"/>
    <w:rsid w:val="19017DC9"/>
    <w:rsid w:val="191F54EE"/>
    <w:rsid w:val="198A4263"/>
    <w:rsid w:val="1A1E1333"/>
    <w:rsid w:val="1A646862"/>
    <w:rsid w:val="1ABD4E9E"/>
    <w:rsid w:val="1AE41750"/>
    <w:rsid w:val="1B280B98"/>
    <w:rsid w:val="1B293607"/>
    <w:rsid w:val="1B520DB0"/>
    <w:rsid w:val="1B6A60FA"/>
    <w:rsid w:val="1B8B7B95"/>
    <w:rsid w:val="1BEA58FD"/>
    <w:rsid w:val="1BF8028F"/>
    <w:rsid w:val="1CCF4667"/>
    <w:rsid w:val="1CD00D9F"/>
    <w:rsid w:val="1CF55E97"/>
    <w:rsid w:val="1D7E7C3A"/>
    <w:rsid w:val="1D7F39B2"/>
    <w:rsid w:val="1DA82F09"/>
    <w:rsid w:val="1DEE1612"/>
    <w:rsid w:val="1E0134EF"/>
    <w:rsid w:val="1E193E07"/>
    <w:rsid w:val="1F340938"/>
    <w:rsid w:val="1F8B39D5"/>
    <w:rsid w:val="1FDE786A"/>
    <w:rsid w:val="1FF71FCD"/>
    <w:rsid w:val="20001E79"/>
    <w:rsid w:val="200D2C63"/>
    <w:rsid w:val="209634ED"/>
    <w:rsid w:val="215F1C1F"/>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243AD4"/>
    <w:rsid w:val="28AB320C"/>
    <w:rsid w:val="28C606E7"/>
    <w:rsid w:val="297B7724"/>
    <w:rsid w:val="29A8408B"/>
    <w:rsid w:val="29EA13DF"/>
    <w:rsid w:val="29EE6148"/>
    <w:rsid w:val="2A203A88"/>
    <w:rsid w:val="2A4E6BE6"/>
    <w:rsid w:val="2A6E5188"/>
    <w:rsid w:val="2A7F1496"/>
    <w:rsid w:val="2A8D7116"/>
    <w:rsid w:val="2AEB2687"/>
    <w:rsid w:val="2B5446D0"/>
    <w:rsid w:val="2BB87E09"/>
    <w:rsid w:val="2C444745"/>
    <w:rsid w:val="2CC61D38"/>
    <w:rsid w:val="2D834DF9"/>
    <w:rsid w:val="2DB55005"/>
    <w:rsid w:val="2E093550"/>
    <w:rsid w:val="2E741572"/>
    <w:rsid w:val="2EA15E7F"/>
    <w:rsid w:val="2F685D83"/>
    <w:rsid w:val="2FF215C2"/>
    <w:rsid w:val="2FFA40E7"/>
    <w:rsid w:val="304D1233"/>
    <w:rsid w:val="30B359F5"/>
    <w:rsid w:val="30B70A98"/>
    <w:rsid w:val="30C9339C"/>
    <w:rsid w:val="30D75B88"/>
    <w:rsid w:val="312811AB"/>
    <w:rsid w:val="315775D2"/>
    <w:rsid w:val="318D31E8"/>
    <w:rsid w:val="31BA13DF"/>
    <w:rsid w:val="31BE3C47"/>
    <w:rsid w:val="31F10EAF"/>
    <w:rsid w:val="328B489A"/>
    <w:rsid w:val="33D62126"/>
    <w:rsid w:val="348C22AE"/>
    <w:rsid w:val="350C2B08"/>
    <w:rsid w:val="353D61D5"/>
    <w:rsid w:val="35523A2F"/>
    <w:rsid w:val="35564A6A"/>
    <w:rsid w:val="35D501BC"/>
    <w:rsid w:val="367B2376"/>
    <w:rsid w:val="37267393"/>
    <w:rsid w:val="372B14EB"/>
    <w:rsid w:val="37C4498C"/>
    <w:rsid w:val="37FE39FA"/>
    <w:rsid w:val="38115DC2"/>
    <w:rsid w:val="38673C95"/>
    <w:rsid w:val="39341715"/>
    <w:rsid w:val="39407315"/>
    <w:rsid w:val="39565AB7"/>
    <w:rsid w:val="3A6D4088"/>
    <w:rsid w:val="3B1F2605"/>
    <w:rsid w:val="3B3135D0"/>
    <w:rsid w:val="3BA70186"/>
    <w:rsid w:val="3BAA3FB1"/>
    <w:rsid w:val="3BBA27B4"/>
    <w:rsid w:val="3C136B23"/>
    <w:rsid w:val="3C1460C3"/>
    <w:rsid w:val="3C597D99"/>
    <w:rsid w:val="3C865F78"/>
    <w:rsid w:val="3CC9348E"/>
    <w:rsid w:val="3D023F8C"/>
    <w:rsid w:val="3D4B2EB3"/>
    <w:rsid w:val="3D577938"/>
    <w:rsid w:val="3DB6BFE2"/>
    <w:rsid w:val="3DD75D32"/>
    <w:rsid w:val="3DFFF389"/>
    <w:rsid w:val="3E520DC7"/>
    <w:rsid w:val="3F03223E"/>
    <w:rsid w:val="3F2B709E"/>
    <w:rsid w:val="3F79EE90"/>
    <w:rsid w:val="3F7F6441"/>
    <w:rsid w:val="3FF335F9"/>
    <w:rsid w:val="4010076E"/>
    <w:rsid w:val="402441FB"/>
    <w:rsid w:val="406C133E"/>
    <w:rsid w:val="41241AE4"/>
    <w:rsid w:val="416E0932"/>
    <w:rsid w:val="41AE6491"/>
    <w:rsid w:val="41CE2A65"/>
    <w:rsid w:val="41F45E6E"/>
    <w:rsid w:val="42042555"/>
    <w:rsid w:val="42585E56"/>
    <w:rsid w:val="429608E2"/>
    <w:rsid w:val="42C6199F"/>
    <w:rsid w:val="433F44CC"/>
    <w:rsid w:val="434B7D0F"/>
    <w:rsid w:val="43CC65BD"/>
    <w:rsid w:val="449C6A74"/>
    <w:rsid w:val="44A47469"/>
    <w:rsid w:val="45374C69"/>
    <w:rsid w:val="453A003B"/>
    <w:rsid w:val="455579DF"/>
    <w:rsid w:val="45674E56"/>
    <w:rsid w:val="457D6AC5"/>
    <w:rsid w:val="45C218AE"/>
    <w:rsid w:val="463F3045"/>
    <w:rsid w:val="465F60A2"/>
    <w:rsid w:val="467928F9"/>
    <w:rsid w:val="468C6C44"/>
    <w:rsid w:val="46ED1809"/>
    <w:rsid w:val="473C009B"/>
    <w:rsid w:val="47A125F4"/>
    <w:rsid w:val="4AE8111F"/>
    <w:rsid w:val="4B7C7600"/>
    <w:rsid w:val="4BAE52DF"/>
    <w:rsid w:val="4C51283A"/>
    <w:rsid w:val="4CD86981"/>
    <w:rsid w:val="4CE84AB9"/>
    <w:rsid w:val="4DB7491F"/>
    <w:rsid w:val="4DBF1A26"/>
    <w:rsid w:val="4DF46E8A"/>
    <w:rsid w:val="4E0F386F"/>
    <w:rsid w:val="4E5E123E"/>
    <w:rsid w:val="4E821CCB"/>
    <w:rsid w:val="4F671849"/>
    <w:rsid w:val="4FA42C81"/>
    <w:rsid w:val="50277BC9"/>
    <w:rsid w:val="503A0FBA"/>
    <w:rsid w:val="50CC21E5"/>
    <w:rsid w:val="511665E9"/>
    <w:rsid w:val="512C5AEB"/>
    <w:rsid w:val="517B76A5"/>
    <w:rsid w:val="51844B18"/>
    <w:rsid w:val="51871521"/>
    <w:rsid w:val="51C03390"/>
    <w:rsid w:val="51FA75DE"/>
    <w:rsid w:val="52784DDC"/>
    <w:rsid w:val="52D25D57"/>
    <w:rsid w:val="52D90E94"/>
    <w:rsid w:val="541D1E6C"/>
    <w:rsid w:val="55627866"/>
    <w:rsid w:val="55651104"/>
    <w:rsid w:val="55741347"/>
    <w:rsid w:val="557E59C2"/>
    <w:rsid w:val="55F16F36"/>
    <w:rsid w:val="572B6B56"/>
    <w:rsid w:val="5736683C"/>
    <w:rsid w:val="573E7B72"/>
    <w:rsid w:val="57620D4F"/>
    <w:rsid w:val="57B92F71"/>
    <w:rsid w:val="57F53220"/>
    <w:rsid w:val="58647451"/>
    <w:rsid w:val="589D1F31"/>
    <w:rsid w:val="59215342"/>
    <w:rsid w:val="593908DE"/>
    <w:rsid w:val="59EEBB73"/>
    <w:rsid w:val="5A4532B2"/>
    <w:rsid w:val="5AA44727"/>
    <w:rsid w:val="5B1923E8"/>
    <w:rsid w:val="5B3F5F54"/>
    <w:rsid w:val="5B8C73EB"/>
    <w:rsid w:val="5B8E2A48"/>
    <w:rsid w:val="5C484BB0"/>
    <w:rsid w:val="5C545A2F"/>
    <w:rsid w:val="5C76653E"/>
    <w:rsid w:val="5CB17FA1"/>
    <w:rsid w:val="5CF8536B"/>
    <w:rsid w:val="5D600B2F"/>
    <w:rsid w:val="5DDB651C"/>
    <w:rsid w:val="5E4107AB"/>
    <w:rsid w:val="601616A0"/>
    <w:rsid w:val="602D2580"/>
    <w:rsid w:val="6162299C"/>
    <w:rsid w:val="61897F29"/>
    <w:rsid w:val="61C5416F"/>
    <w:rsid w:val="61E77BAD"/>
    <w:rsid w:val="62A10326"/>
    <w:rsid w:val="62BF00A6"/>
    <w:rsid w:val="62D52D32"/>
    <w:rsid w:val="62E80C7F"/>
    <w:rsid w:val="62EF200D"/>
    <w:rsid w:val="6343411C"/>
    <w:rsid w:val="643D1673"/>
    <w:rsid w:val="64D16632"/>
    <w:rsid w:val="65736F26"/>
    <w:rsid w:val="65F52031"/>
    <w:rsid w:val="66206866"/>
    <w:rsid w:val="66471BF6"/>
    <w:rsid w:val="666004F6"/>
    <w:rsid w:val="66630D48"/>
    <w:rsid w:val="66AA4699"/>
    <w:rsid w:val="66B71DB0"/>
    <w:rsid w:val="671868DB"/>
    <w:rsid w:val="672A3EED"/>
    <w:rsid w:val="673C2FD6"/>
    <w:rsid w:val="676F69D0"/>
    <w:rsid w:val="68133F4F"/>
    <w:rsid w:val="68460921"/>
    <w:rsid w:val="688D02FE"/>
    <w:rsid w:val="688E0B3C"/>
    <w:rsid w:val="68D21D93"/>
    <w:rsid w:val="696F72A7"/>
    <w:rsid w:val="69F20789"/>
    <w:rsid w:val="6A535578"/>
    <w:rsid w:val="6AB371AF"/>
    <w:rsid w:val="6B5275DD"/>
    <w:rsid w:val="6BBA59F2"/>
    <w:rsid w:val="6D7A2AAC"/>
    <w:rsid w:val="6DB8406F"/>
    <w:rsid w:val="6E0819B1"/>
    <w:rsid w:val="6E8A48AD"/>
    <w:rsid w:val="6F410095"/>
    <w:rsid w:val="6F8C31A5"/>
    <w:rsid w:val="6F8F4715"/>
    <w:rsid w:val="700A66D9"/>
    <w:rsid w:val="70345285"/>
    <w:rsid w:val="71245578"/>
    <w:rsid w:val="71D21478"/>
    <w:rsid w:val="71E53AF6"/>
    <w:rsid w:val="72253C9E"/>
    <w:rsid w:val="725F4256"/>
    <w:rsid w:val="72BE633B"/>
    <w:rsid w:val="72C93ABE"/>
    <w:rsid w:val="73041B05"/>
    <w:rsid w:val="735E459D"/>
    <w:rsid w:val="736967AF"/>
    <w:rsid w:val="736D552E"/>
    <w:rsid w:val="73B628F7"/>
    <w:rsid w:val="73D47729"/>
    <w:rsid w:val="745C066F"/>
    <w:rsid w:val="746B1F41"/>
    <w:rsid w:val="74A76EB3"/>
    <w:rsid w:val="752A64AA"/>
    <w:rsid w:val="75C31803"/>
    <w:rsid w:val="760D0CD1"/>
    <w:rsid w:val="760F67F7"/>
    <w:rsid w:val="764364A0"/>
    <w:rsid w:val="76487F5B"/>
    <w:rsid w:val="775D3592"/>
    <w:rsid w:val="77AA2691"/>
    <w:rsid w:val="77BC7F2D"/>
    <w:rsid w:val="78C150B6"/>
    <w:rsid w:val="79584959"/>
    <w:rsid w:val="79975481"/>
    <w:rsid w:val="79B75489"/>
    <w:rsid w:val="7A377612"/>
    <w:rsid w:val="7A396538"/>
    <w:rsid w:val="7A74131E"/>
    <w:rsid w:val="7A797924"/>
    <w:rsid w:val="7A7D216D"/>
    <w:rsid w:val="7AEA338E"/>
    <w:rsid w:val="7AEBFF31"/>
    <w:rsid w:val="7B071EC0"/>
    <w:rsid w:val="7B7A118C"/>
    <w:rsid w:val="7C291293"/>
    <w:rsid w:val="7CD10A13"/>
    <w:rsid w:val="7CF36423"/>
    <w:rsid w:val="7D1102F8"/>
    <w:rsid w:val="7DEC702A"/>
    <w:rsid w:val="7DED5F44"/>
    <w:rsid w:val="7E532C4A"/>
    <w:rsid w:val="7E8B7F5A"/>
    <w:rsid w:val="7ED3780E"/>
    <w:rsid w:val="7ED50BC3"/>
    <w:rsid w:val="7F315A30"/>
    <w:rsid w:val="7F345520"/>
    <w:rsid w:val="7F482BD2"/>
    <w:rsid w:val="7F9F23E4"/>
    <w:rsid w:val="7FF47F89"/>
    <w:rsid w:val="9F40E0B3"/>
    <w:rsid w:val="AEFE0F82"/>
    <w:rsid w:val="BFF684AF"/>
    <w:rsid w:val="CB7F0C64"/>
    <w:rsid w:val="D6EDDBA2"/>
    <w:rsid w:val="DF6BB4DD"/>
    <w:rsid w:val="EEB70E65"/>
    <w:rsid w:val="F6FDCD78"/>
    <w:rsid w:val="FA9DBA93"/>
    <w:rsid w:val="FC7E5584"/>
    <w:rsid w:val="FFDFF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line="600" w:lineRule="exact"/>
      <w:ind w:firstLine="880" w:firstLineChars="200"/>
    </w:pPr>
    <w:rPr>
      <w:rFonts w:eastAsia="仿宋_GB2312"/>
      <w:sz w:val="32"/>
    </w:rPr>
  </w:style>
  <w:style w:type="paragraph" w:styleId="4">
    <w:name w:val="table of authorities"/>
    <w:basedOn w:val="1"/>
    <w:next w:val="1"/>
    <w:unhideWhenUsed/>
    <w:qFormat/>
    <w:uiPriority w:val="99"/>
    <w:pPr>
      <w:ind w:left="20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font21"/>
    <w:basedOn w:val="10"/>
    <w:qFormat/>
    <w:uiPriority w:val="0"/>
    <w:rPr>
      <w:rFonts w:hint="eastAsia" w:ascii="方正小标宋简体" w:hAnsi="方正小标宋简体" w:eastAsia="方正小标宋简体" w:cs="方正小标宋简体"/>
      <w:color w:val="000000"/>
      <w:sz w:val="40"/>
      <w:szCs w:val="40"/>
      <w:u w:val="none"/>
    </w:rPr>
  </w:style>
  <w:style w:type="character" w:customStyle="1" w:styleId="14">
    <w:name w:val="font4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5707</Words>
  <Characters>6002</Characters>
  <Lines>0</Lines>
  <Paragraphs>0</Paragraphs>
  <TotalTime>9</TotalTime>
  <ScaleCrop>false</ScaleCrop>
  <LinksUpToDate>false</LinksUpToDate>
  <CharactersWithSpaces>6162</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2022-08-03T15:40:00Z</dcterms:created>
  <dc:creator>高春雷</dc:creator>
  <cp:lastModifiedBy>user</cp:lastModifiedBy>
  <cp:lastPrinted>2024-09-16T01:45:00Z</cp:lastPrinted>
  <dcterms:modified xsi:type="dcterms:W3CDTF">2025-05-22T17:01:27Z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6775D3A0A6474D641F302D68DDD460D1</vt:lpwstr>
  </property>
  <property fmtid="{D5CDD505-2E9C-101B-9397-08002B2CF9AE}" pid="4" name="KSOTemplateDocerSaveRecord">
    <vt:lpwstr>eyJoZGlkIjoiY2FmNjc2NDcwYWVhZjg2ZjU4NzE3MTE2YTFkMGRlNWQiLCJ1c2VySWQiOiI2MjUxMTEwOTcifQ==</vt:lpwstr>
  </property>
</Properties>
</file>