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连城县2026年</w:t>
      </w: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度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高素质类人才引进岗位</w:t>
      </w: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信息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表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51"/>
        <w:gridCol w:w="886"/>
        <w:gridCol w:w="962"/>
        <w:gridCol w:w="914"/>
        <w:gridCol w:w="700"/>
        <w:gridCol w:w="1041"/>
        <w:gridCol w:w="2390"/>
        <w:gridCol w:w="819"/>
        <w:gridCol w:w="852"/>
        <w:gridCol w:w="1041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连城县国土空间规划中心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建筑设计与风景园林类，城乡规划类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新兴产业服务中心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（01）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材料类，电子信息类，化工与制药类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新兴产业服务中心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（02）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地矿类，能源动力类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连城县建设工程质量安全监督站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连城县知识产权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和价格服务中心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连城县文化馆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连城县新泉整训纪念馆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连城县农业科学研究所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连城县重点项目开发中心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经济贸易类，财政金融类，统计学类，会计与审计类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连城县庙前台商投资工业集中区企业服务中心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地矿类，工程管理类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博士不超过40周岁</w:t>
            </w:r>
          </w:p>
        </w:tc>
      </w:tr>
    </w:tbl>
    <w:p>
      <w:pPr>
        <w:ind w:firstLine="482" w:firstLineChars="200"/>
        <w:rPr>
          <w:rFonts w:hint="eastAsia" w:ascii="仿宋_GB2312" w:hAnsi="仿宋" w:eastAsia="仿宋_GB2312"/>
          <w:b/>
          <w:bCs/>
          <w:color w:val="000000"/>
          <w:sz w:val="24"/>
          <w:szCs w:val="24"/>
          <w:lang w:eastAsia="zh-CN"/>
        </w:rPr>
      </w:pPr>
    </w:p>
    <w:p>
      <w:pPr>
        <w:ind w:firstLine="482" w:firstLineChars="200"/>
      </w:pPr>
      <w:r>
        <w:rPr>
          <w:rFonts w:hint="eastAsia" w:ascii="仿宋_GB2312" w:hAnsi="仿宋" w:eastAsia="仿宋_GB2312"/>
          <w:b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仿宋_GB2312" w:hAnsi="仿宋" w:eastAsia="仿宋_GB2312"/>
          <w:color w:val="000000"/>
          <w:sz w:val="24"/>
          <w:szCs w:val="24"/>
          <w:lang w:eastAsia="zh-CN"/>
        </w:rPr>
        <w:t>所有岗位最低服务年限为</w:t>
      </w:r>
      <w:r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  <w:t>5年。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609F"/>
    <w:rsid w:val="370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2026-04-30T06:55:00Z</dcterms:created>
  <dc:creator>Administrator</dc:creator>
  <cp:lastModifiedBy>Administrator</cp:lastModifiedBy>
  <dcterms:modified xsi:type="dcterms:W3CDTF">2026-04-30T06:57:27Z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