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台州技师学院202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年高层次人才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自主</w:t>
      </w:r>
      <w:r>
        <w:rPr>
          <w:rFonts w:hint="eastAsia" w:ascii="方正小标宋简体" w:eastAsia="方正小标宋简体"/>
          <w:sz w:val="44"/>
          <w:szCs w:val="44"/>
        </w:rPr>
        <w:t>招聘计</w:t>
      </w:r>
      <w:r>
        <w:rPr>
          <w:rFonts w:hint="default" w:ascii="方正小标宋简体" w:eastAsia="方正小标宋简体"/>
          <w:sz w:val="44"/>
          <w:szCs w:val="44"/>
        </w:rPr>
        <w:t>划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</w:p>
    <w:p>
      <w:pPr>
        <w:adjustRightInd w:val="0"/>
        <w:snapToGrid w:val="0"/>
        <w:spacing w:line="48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15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21"/>
        <w:gridCol w:w="630"/>
        <w:gridCol w:w="690"/>
        <w:gridCol w:w="660"/>
        <w:gridCol w:w="675"/>
        <w:gridCol w:w="4747"/>
        <w:gridCol w:w="2985"/>
        <w:gridCol w:w="930"/>
        <w:gridCol w:w="939"/>
        <w:gridCol w:w="677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序号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招聘岗位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岗位类别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招聘人数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474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98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其他要求和有关说明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技能测试</w:t>
            </w: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智能装备工学一体化教师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474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研究生专业：电气工程类、控制科学与工程类、仪器科学与技术类</w:t>
            </w:r>
          </w:p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根据条件放宽后本科专业：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电气类、自动化类、仪器类</w:t>
            </w:r>
          </w:p>
        </w:tc>
        <w:tc>
          <w:tcPr>
            <w:tcW w:w="298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1.具有2年相关岗位工作经验；</w:t>
            </w:r>
          </w:p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2.具有招聘岗位相关副高及以上职称的或高级技师的，学历放宽到本科，学位放宽到学士。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PLC</w:t>
            </w:r>
          </w:p>
          <w:p>
            <w:pPr>
              <w:widowControl/>
              <w:spacing w:after="6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40%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spacing w:after="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新能源汽车制造与装配工学一体化教师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  <w:woUserID w:val="1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474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研究生专业：交通运输、新能源汽车工程、车辆工程、机械电子工程、机械制造及其自动化、汽车电子工程、汽车运用工程、智能制造技术、智能交通与信息系统工程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根据条件放宽后本科专业：仪器类、能源动力类、电气类、电子信息类、自动化类、交通运输类、物联网工程</w:t>
            </w:r>
          </w:p>
        </w:tc>
        <w:tc>
          <w:tcPr>
            <w:tcW w:w="2985" w:type="dxa"/>
            <w:shd w:val="clear" w:color="auto" w:fill="FFFFFF"/>
            <w:noWrap w:val="0"/>
            <w:vAlign w:val="top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具有2年相关岗位工作经验；</w:t>
            </w:r>
          </w:p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2.具有招聘岗位相关副高及以上职称的或高级技师的，学历放宽到本科，学位放宽到学士。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电驱动总成检修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40%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spacing w:after="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无人机应用技术工学一体化教师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474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研究生专业：航空宇航科学与技术类</w:t>
            </w:r>
          </w:p>
          <w:p>
            <w:pPr>
              <w:widowControl/>
              <w:spacing w:after="62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根据条件放宽后本科专业：航空航天类 </w:t>
            </w:r>
          </w:p>
        </w:tc>
        <w:tc>
          <w:tcPr>
            <w:tcW w:w="2985" w:type="dxa"/>
            <w:shd w:val="clear" w:color="auto" w:fill="FFFFFF"/>
            <w:noWrap w:val="0"/>
            <w:vAlign w:val="top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具有2年相关岗位工作经验；</w:t>
            </w:r>
          </w:p>
          <w:p>
            <w:pPr>
              <w:spacing w:after="62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2.具有招聘岗位相关副高及以上职称的或高级技师的，学历放宽到本科，学位放宽到学士。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无人机装调检修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40%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spacing w:after="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数字化建造工学一体化教师（建筑设备方向)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4747" w:type="dxa"/>
            <w:shd w:val="clear" w:color="auto" w:fill="FFFFFF"/>
            <w:noWrap w:val="0"/>
            <w:vAlign w:val="top"/>
          </w:tcPr>
          <w:p>
            <w:pPr>
              <w:widowControl/>
              <w:spacing w:after="62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研究生专业：土木工程类、电气工程类、控制科学与工程类、信息与通信工程类、动力工程及工程热物理类、电子科学与技术类</w:t>
            </w:r>
          </w:p>
          <w:p>
            <w:pPr>
              <w:widowControl/>
              <w:spacing w:after="62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根据条件放宽后本科专业：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电气类、电子信息类、自动化类、土木类、建筑电气与智能化、电气工程及其自动化、电气工程与智能控制、物联网工程、智能科学与技术、智能感知工程</w:t>
            </w:r>
          </w:p>
        </w:tc>
        <w:tc>
          <w:tcPr>
            <w:tcW w:w="298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具有2年相关岗位工作经验；</w:t>
            </w:r>
          </w:p>
          <w:p>
            <w:pPr>
              <w:widowControl/>
              <w:spacing w:after="62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2.具有招聘岗位相关副高及以上职称的或高级技师的，学历放宽到本科，学位放宽到学士。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建筑电气与智能化工程识图</w:t>
            </w:r>
          </w:p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40%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spacing w:after="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32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21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制药技术工学一体化教师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474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研究生专业：药学类、化学类、化学工程与技术类、生物工程类</w:t>
            </w:r>
          </w:p>
          <w:p>
            <w:pPr>
              <w:widowControl/>
              <w:spacing w:after="62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根据条件放宽后本科专业：药学类、化学类、生物工程类</w:t>
            </w:r>
          </w:p>
        </w:tc>
        <w:tc>
          <w:tcPr>
            <w:tcW w:w="2985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具有2年相关岗位工作经验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spacing w:after="62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具有招聘岗位相关副高及以上职称的或高级技师的，学历放宽到本科，学位放宽到学士。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药品生产单元操作</w:t>
            </w:r>
          </w:p>
          <w:p>
            <w:pPr>
              <w:widowControl/>
              <w:spacing w:after="62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677" w:type="dxa"/>
            <w:shd w:val="clear" w:color="auto" w:fill="FFFFFF"/>
            <w:noWrap w:val="0"/>
            <w:vAlign w:val="center"/>
          </w:tcPr>
          <w:p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40%</w:t>
            </w:r>
          </w:p>
        </w:tc>
        <w:tc>
          <w:tcPr>
            <w:tcW w:w="533" w:type="dxa"/>
            <w:shd w:val="clear" w:color="auto" w:fill="FFFFFF"/>
            <w:noWrap w:val="0"/>
            <w:vAlign w:val="center"/>
          </w:tcPr>
          <w:p>
            <w:pPr>
              <w:spacing w:after="6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4692B"/>
    <w:rsid w:val="4D94692B"/>
    <w:rsid w:val="68BB7E7E"/>
    <w:rsid w:val="CADBB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979</Words>
  <Characters>1024</Characters>
  <Lines>0</Lines>
  <Paragraphs>0</Paragraphs>
  <TotalTime>0</TotalTime>
  <ScaleCrop>false</ScaleCrop>
  <LinksUpToDate>false</LinksUpToDate>
  <CharactersWithSpaces>1031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2026-06-23T15:34:00Z</dcterms:created>
  <dc:creator>臭小子</dc:creator>
  <cp:lastModifiedBy>臭小子</cp:lastModifiedBy>
  <dcterms:modified xsi:type="dcterms:W3CDTF">2026-07-07T15:05:56Z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4ADE907E93B447AFB3D9E2D6C9078A7A_11</vt:lpwstr>
  </property>
  <property fmtid="{D5CDD505-2E9C-101B-9397-08002B2CF9AE}" pid="4" name="KSOTemplateDocerSaveRecord">
    <vt:lpwstr>eyJoZGlkIjoiNDdiY2ZjZDJiYTRiYWVjZTlkZDc1ZDc4ZWYyMTFlYjAiLCJ1c2VySWQiOiIzNTQwNTM5MDEifQ==</vt:lpwstr>
  </property>
</Properties>
</file>