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  <w:t>第七师胡杨河市高层次人才分类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540" w:lineRule="exact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第一层次：国家重点实验室带头人及其研发团队；国家级有突出贡献的中青年专家；全国宣传文化系统“四个一批”人才；中华技能大奖、国家级技能大师、国家级教学名师奖获得者；“百千万人才工程”国家级人选；具有3年以上世界500强企业中高层管理经历的人员（企业排名以上一年度权威机构公开发布的为准，下同）；或与上述条件层次相当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第二层次：享受国务院特殊津贴专家；省部级学术技术带头人、省部级科技创新团队带头人、省级有突出贡献的优秀专家、省部级专家称号人才；全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国技术能手；具有3年以上中国500强企业中高层管理经历的人员；或与上述条件层次相当的人选。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第三层次：全日制博士研究生；具有正高级专业技术职称人员；具有3年以上世界500强或中国500强企业分公司经营管理经历的人才；高级职业经理人；或与上述条件层次相当的人选。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第四层次：博士研究生；全日制硕士研究生且具有副高级专业技术职称人员；省级技术能手；或与上述条件层次相当的人选。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第五层次：全日制硕士研究生；具有副高级专业技术职称人员；全日制大学本科学历且具有中级专业技术职称人员；中级职业经理人；高级技师；获得地市级专家称号人才；或与上述条件层次相当的人选。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C5462"/>
    <w:rsid w:val="7F0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line="240" w:lineRule="auto"/>
      <w:ind w:firstLine="262" w:firstLineChars="262"/>
    </w:pPr>
    <w:rPr>
      <w:rFonts w:ascii="Calibri" w:eastAsia="微软雅黑"/>
      <w:b/>
      <w:bCs/>
      <w:szCs w:val="21"/>
    </w:rPr>
  </w:style>
  <w:style w:type="paragraph" w:styleId="3">
    <w:name w:val="Body Text Indent"/>
    <w:basedOn w:val="1"/>
    <w:next w:val="1"/>
    <w:qFormat/>
    <w:uiPriority w:val="0"/>
    <w:pPr>
      <w:widowControl/>
      <w:spacing w:after="120" w:line="560" w:lineRule="exact"/>
      <w:ind w:left="200" w:leftChars="200"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2022-12-30T07:49:00Z</dcterms:created>
  <dc:creator>Administrator</dc:creator>
  <cp:lastModifiedBy>Administrator</cp:lastModifiedBy>
  <dcterms:modified xsi:type="dcterms:W3CDTF">2023-04-23T03:03:50Z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