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年普通高校专升本考试时间安排表</w:t>
      </w:r>
    </w:p>
    <w:tbl>
      <w:tblPr>
        <w:tblStyle w:val="4"/>
        <w:tblpPr w:leftFromText="180" w:rightFromText="180" w:vertAnchor="text" w:horzAnchor="page" w:tblpXSpec="center" w:tblpY="561"/>
        <w:tblOverlap w:val="never"/>
        <w:tblW w:w="93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122"/>
        <w:gridCol w:w="3712"/>
        <w:gridCol w:w="18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考试科目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3月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（星期六）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9:00—11:00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大学英语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公共基础课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9:00—11: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专业基础英语（英语类）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6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15:00—17:00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高等数学、大学语文、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无机与分析化学、植物学、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人体解剖学与生理学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3月</w:t>
            </w:r>
            <w:r>
              <w:rPr>
                <w:rFonts w:hint="eastAsia" w:hAnsi="宋体" w:eastAsia="宋体" w:cs="宋体"/>
                <w:color w:val="auto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（星期天）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9:00—11:30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专业基础课（美术类除外）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专业基础课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8:00—10:00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美术类色彩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10:30—12:30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美术类素描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  <w:t>普通高校专升本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考试科目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  <w:t>（面向建档立卡考生、普通考生）</w:t>
      </w:r>
    </w:p>
    <w:tbl>
      <w:tblPr>
        <w:tblStyle w:val="4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30"/>
        <w:gridCol w:w="2891"/>
        <w:gridCol w:w="3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类别代码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招生类别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公共基础课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专业基础课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计算机科学类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大学英语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高等数学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①程序设计与数据结构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②关系数据库与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SQL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.高等数学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①电子电路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②单片机原理及应用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建筑类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2.高等数学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①建筑力学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②建筑施工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机械工程类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2.高等数学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①机械设计基础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②工程制图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经济类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①政治经济学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②西方经济学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58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财会类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①基础会计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管理类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①管理学基础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①传播学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②广告学容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英语类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right="0" w:rightChars="0" w:hanging="420" w:hangingChars="15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1.专业基础英语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0" w:leftChars="0" w:right="0" w:rightChars="0" w:hanging="280" w:hangingChars="10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阅读、英语写作与翻译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生物学类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.无机与分析化学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①有机化学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农林类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.植物学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①植物生理学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②土壤肥料学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①内科学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医学检验类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内科学或生化检验，任选一门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67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内科学或内科护理学，任选一门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68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内科学或药剂学，任选一门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环境科学与工程类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.无机与分析化学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环境保护概论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学前教育类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①学前儿童发展心理学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②学前教育学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71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小学教育类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①教育学 ②心理学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72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美术类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①色彩 ②素描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73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音乐类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音乐类专业基础课</w:t>
            </w:r>
          </w:p>
        </w:tc>
      </w:tr>
    </w:tbl>
    <w:p>
      <w:pPr>
        <w:spacing w:line="600" w:lineRule="exact"/>
        <w:ind w:right="960"/>
        <w:rPr>
          <w:rFonts w:hint="eastAsia" w:ascii="黑体" w:hAnsi="黑体" w:eastAsia="黑体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ind w:right="960"/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  <w:t>普通高校专升本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考试科目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eastAsia="zh-CN"/>
        </w:rPr>
        <w:t>（面向退役士兵考生）</w:t>
      </w:r>
    </w:p>
    <w:tbl>
      <w:tblPr>
        <w:tblStyle w:val="4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22"/>
        <w:gridCol w:w="5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招生类别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计算机科学类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建筑类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机械工程类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经济类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财会类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管理类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英语类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生物学类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农林类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3.专业基础课（①内科学 ②外科学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医学检验类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3.专业基础课（内科学或生化检验任选一门）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3.专业基础课（内科学或内科护理学任选一门）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3.专业基础课（内科学或药剂学任选一门）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39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环境科学与工程类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学前教育类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小学教育类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42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美术类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音乐类</w:t>
            </w:r>
          </w:p>
        </w:tc>
        <w:tc>
          <w:tcPr>
            <w:tcW w:w="5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</w:tbl>
    <w:p>
      <w:pPr>
        <w:spacing w:line="600" w:lineRule="exact"/>
        <w:ind w:right="960"/>
        <w:rPr>
          <w:rFonts w:hint="eastAsia" w:ascii="黑体" w:hAnsi="黑体" w:eastAsia="黑体"/>
          <w:color w:val="auto"/>
          <w:sz w:val="32"/>
          <w:szCs w:val="32"/>
        </w:rPr>
        <w:sectPr>
          <w:pgSz w:w="11906" w:h="16838"/>
          <w:pgMar w:top="1474" w:right="1474" w:bottom="141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仿宋_GB2312" w:hAnsi="ˎ̥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1AE6"/>
    <w:multiLevelType w:val="singleLevel"/>
    <w:tmpl w:val="5DEA1AE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B329B"/>
    <w:rsid w:val="3DCB329B"/>
    <w:rsid w:val="5A1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2020-12-18T09:21:00Z</dcterms:created>
  <dc:creator>lenovo</dc:creator>
  <cp:lastModifiedBy>Admin</cp:lastModifiedBy>
  <dcterms:modified xsi:type="dcterms:W3CDTF">2020-12-18T10:40:28Z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